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15" w:rsidRDefault="00C01515">
      <w:pPr>
        <w:jc w:val="center"/>
        <w:rPr>
          <w:rFonts w:ascii="宋体" w:hAnsi="宋体" w:hint="eastAsia"/>
          <w:b/>
          <w:sz w:val="28"/>
          <w:szCs w:val="28"/>
        </w:rPr>
      </w:pPr>
      <w:r>
        <w:rPr>
          <w:rFonts w:ascii="宋体" w:hAnsi="宋体" w:hint="eastAsia"/>
          <w:b/>
          <w:sz w:val="28"/>
          <w:szCs w:val="28"/>
        </w:rPr>
        <w:t>报告信息公开简报表</w:t>
      </w:r>
    </w:p>
    <w:p w:rsidR="00C01515" w:rsidRDefault="00C01515">
      <w:pPr>
        <w:wordWrap w:val="0"/>
        <w:jc w:val="right"/>
        <w:rPr>
          <w:rFonts w:ascii="宋体" w:hAnsi="宋体" w:hint="eastAsia"/>
          <w:b/>
          <w:szCs w:val="21"/>
        </w:rPr>
      </w:pPr>
    </w:p>
    <w:tbl>
      <w:tblPr>
        <w:tblW w:w="0" w:type="auto"/>
        <w:jc w:val="center"/>
        <w:tblInd w:w="0" w:type="dxa"/>
        <w:tblLayout w:type="fixed"/>
        <w:tblCellMar>
          <w:left w:w="0" w:type="dxa"/>
          <w:right w:w="0" w:type="dxa"/>
        </w:tblCellMar>
        <w:tblLook w:val="0000" w:firstRow="0" w:lastRow="0" w:firstColumn="0" w:lastColumn="0" w:noHBand="0" w:noVBand="0"/>
      </w:tblPr>
      <w:tblGrid>
        <w:gridCol w:w="1005"/>
        <w:gridCol w:w="901"/>
        <w:gridCol w:w="2341"/>
        <w:gridCol w:w="4273"/>
      </w:tblGrid>
      <w:tr w:rsidR="00C01515">
        <w:trPr>
          <w:jc w:val="center"/>
        </w:trPr>
        <w:tc>
          <w:tcPr>
            <w:tcW w:w="190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490"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用人单位/建设单位名称</w:t>
            </w:r>
          </w:p>
        </w:tc>
        <w:tc>
          <w:tcPr>
            <w:tcW w:w="6614"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C01515" w:rsidRPr="00A414C2" w:rsidRDefault="00A414C2" w:rsidP="00A414C2">
            <w:pPr>
              <w:widowControl/>
              <w:spacing w:line="490" w:lineRule="atLeast"/>
              <w:jc w:val="center"/>
              <w:rPr>
                <w:rFonts w:ascii="仿宋_GB2312" w:eastAsia="仿宋_GB2312" w:hAnsi="仿宋_GB2312" w:cs="仿宋_GB2312" w:hint="eastAsia"/>
                <w:kern w:val="0"/>
                <w:sz w:val="28"/>
                <w:szCs w:val="28"/>
              </w:rPr>
            </w:pPr>
            <w:bookmarkStart w:id="0" w:name="_GoBack"/>
            <w:r w:rsidRPr="00A414C2">
              <w:rPr>
                <w:rFonts w:ascii="仿宋_GB2312" w:eastAsia="仿宋_GB2312" w:hAnsi="仿宋_GB2312" w:cs="仿宋_GB2312" w:hint="eastAsia"/>
                <w:kern w:val="0"/>
                <w:sz w:val="28"/>
                <w:szCs w:val="28"/>
              </w:rPr>
              <w:t>云南普洱西南水泥有限公司</w:t>
            </w:r>
            <w:bookmarkEnd w:id="0"/>
          </w:p>
        </w:tc>
      </w:tr>
      <w:tr w:rsidR="00C01515">
        <w:trPr>
          <w:jc w:val="center"/>
        </w:trPr>
        <w:tc>
          <w:tcPr>
            <w:tcW w:w="19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490"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地理位置</w:t>
            </w:r>
          </w:p>
        </w:tc>
        <w:tc>
          <w:tcPr>
            <w:tcW w:w="661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A414C2">
            <w:pPr>
              <w:widowControl/>
              <w:spacing w:line="49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云南省</w:t>
            </w:r>
            <w:r w:rsidRPr="008957C7">
              <w:rPr>
                <w:rFonts w:ascii="仿宋_GB2312" w:eastAsia="仿宋_GB2312" w:hAnsi="仿宋_GB2312" w:cs="仿宋_GB2312" w:hint="eastAsia"/>
                <w:sz w:val="28"/>
                <w:szCs w:val="28"/>
              </w:rPr>
              <w:t>普洱市思茅区</w:t>
            </w:r>
          </w:p>
        </w:tc>
      </w:tr>
      <w:tr w:rsidR="00C01515">
        <w:trPr>
          <w:jc w:val="center"/>
        </w:trPr>
        <w:tc>
          <w:tcPr>
            <w:tcW w:w="19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490"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客户联系人</w:t>
            </w:r>
          </w:p>
        </w:tc>
        <w:tc>
          <w:tcPr>
            <w:tcW w:w="661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A414C2">
            <w:pPr>
              <w:widowControl/>
              <w:spacing w:line="490"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苏伟</w:t>
            </w:r>
          </w:p>
        </w:tc>
      </w:tr>
      <w:tr w:rsidR="00C01515">
        <w:trPr>
          <w:jc w:val="center"/>
        </w:trPr>
        <w:tc>
          <w:tcPr>
            <w:tcW w:w="1005" w:type="dxa"/>
            <w:vMerge w:val="restart"/>
            <w:tcBorders>
              <w:top w:val="nil"/>
              <w:left w:val="single" w:sz="8" w:space="0" w:color="000000"/>
              <w:right w:val="single" w:sz="4" w:space="0" w:color="auto"/>
            </w:tcBorders>
            <w:tcMar>
              <w:top w:w="0" w:type="dxa"/>
              <w:left w:w="108" w:type="dxa"/>
              <w:bottom w:w="0" w:type="dxa"/>
              <w:right w:w="108" w:type="dxa"/>
            </w:tcMar>
            <w:vAlign w:val="center"/>
          </w:tcPr>
          <w:p w:rsidR="00C01515" w:rsidRDefault="00C01515">
            <w:pPr>
              <w:spacing w:line="490"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技术服务事项</w:t>
            </w:r>
          </w:p>
        </w:tc>
        <w:tc>
          <w:tcPr>
            <w:tcW w:w="901" w:type="dxa"/>
            <w:tcBorders>
              <w:top w:val="nil"/>
              <w:left w:val="single" w:sz="4" w:space="0" w:color="auto"/>
              <w:bottom w:val="single" w:sz="8" w:space="0" w:color="000000"/>
              <w:right w:val="single" w:sz="8" w:space="0" w:color="000000"/>
            </w:tcBorders>
            <w:vAlign w:val="center"/>
          </w:tcPr>
          <w:p w:rsidR="00C01515" w:rsidRDefault="00C01515">
            <w:pPr>
              <w:widowControl/>
              <w:spacing w:line="490"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类型</w:t>
            </w:r>
          </w:p>
        </w:tc>
        <w:tc>
          <w:tcPr>
            <w:tcW w:w="661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C01515">
            <w:pPr>
              <w:jc w:val="center"/>
              <w:rPr>
                <w:rFonts w:ascii="仿宋_GB2312" w:eastAsia="仿宋_GB2312" w:hAnsi="仿宋_GB2312" w:cs="仿宋_GB2312" w:hint="eastAsia"/>
                <w:b/>
                <w:sz w:val="28"/>
                <w:szCs w:val="28"/>
              </w:rPr>
            </w:pPr>
            <w:r>
              <w:rPr>
                <w:rFonts w:ascii="仿宋_GB2312" w:eastAsia="仿宋_GB2312" w:hAnsi="仿宋_GB2312" w:cs="仿宋_GB2312" w:hint="eastAsia"/>
                <w:sz w:val="28"/>
                <w:szCs w:val="28"/>
              </w:rPr>
              <w:t>职业病危害预评价</w:t>
            </w:r>
            <w:r>
              <w:rPr>
                <w:rFonts w:ascii="仿宋_GB2312" w:eastAsia="仿宋_GB2312" w:hAnsi="仿宋_GB2312" w:cs="仿宋_GB2312" w:hint="eastAsia"/>
                <w:sz w:val="28"/>
                <w:szCs w:val="28"/>
              </w:rPr>
              <w:sym w:font="Wingdings" w:char="00A8"/>
            </w:r>
            <w:r>
              <w:rPr>
                <w:rFonts w:ascii="仿宋_GB2312" w:eastAsia="仿宋_GB2312" w:hAnsi="仿宋_GB2312" w:cs="仿宋_GB2312" w:hint="eastAsia"/>
                <w:sz w:val="28"/>
                <w:szCs w:val="28"/>
              </w:rPr>
              <w:t xml:space="preserve">  职业病危害控制效果评价</w:t>
            </w:r>
            <w:r>
              <w:rPr>
                <w:rFonts w:ascii="仿宋_GB2312" w:eastAsia="仿宋_GB2312" w:hAnsi="仿宋_GB2312" w:cs="仿宋_GB2312" w:hint="eastAsia"/>
                <w:sz w:val="28"/>
                <w:szCs w:val="28"/>
              </w:rPr>
              <w:sym w:font="Wingdings" w:char="00A8"/>
            </w:r>
          </w:p>
          <w:p w:rsidR="00C01515" w:rsidRDefault="00C01515">
            <w:pPr>
              <w:widowControl/>
              <w:spacing w:line="490"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sz w:val="28"/>
                <w:szCs w:val="28"/>
              </w:rPr>
              <w:t>职业病危害因素检测</w:t>
            </w:r>
            <w:r w:rsidR="00A414C2">
              <w:rPr>
                <w:rFonts w:ascii="仿宋_GB2312" w:eastAsia="仿宋_GB2312" w:hAnsi="仿宋_GB2312" w:cs="仿宋_GB2312" w:hint="eastAsia"/>
                <w:sz w:val="28"/>
                <w:szCs w:val="28"/>
              </w:rPr>
              <w:sym w:font="Wingdings" w:char="00A8"/>
            </w:r>
            <w:r>
              <w:rPr>
                <w:rFonts w:ascii="仿宋_GB2312" w:eastAsia="仿宋_GB2312" w:hAnsi="仿宋_GB2312" w:cs="仿宋_GB2312" w:hint="eastAsia"/>
                <w:b/>
                <w:bCs/>
                <w:sz w:val="28"/>
                <w:szCs w:val="28"/>
              </w:rPr>
              <w:t xml:space="preserve">     </w:t>
            </w:r>
            <w:r>
              <w:rPr>
                <w:rFonts w:ascii="仿宋_GB2312" w:eastAsia="仿宋_GB2312" w:hAnsi="仿宋_GB2312" w:cs="仿宋_GB2312" w:hint="eastAsia"/>
                <w:sz w:val="28"/>
                <w:szCs w:val="28"/>
              </w:rPr>
              <w:t>职业病危害现状评价</w:t>
            </w:r>
            <w:r w:rsidR="00A414C2">
              <w:rPr>
                <w:rFonts w:ascii="仿宋_GB2312" w:eastAsia="仿宋_GB2312" w:hAnsi="仿宋_GB2312" w:cs="仿宋_GB2312" w:hint="eastAsia"/>
                <w:sz w:val="28"/>
                <w:szCs w:val="28"/>
              </w:rPr>
              <w:sym w:font="Wingdings" w:char="00FE"/>
            </w:r>
            <w:r>
              <w:rPr>
                <w:rFonts w:ascii="仿宋_GB2312" w:eastAsia="仿宋_GB2312" w:hAnsi="仿宋_GB2312" w:cs="仿宋_GB2312" w:hint="eastAsia"/>
                <w:b/>
                <w:bCs/>
                <w:sz w:val="28"/>
                <w:szCs w:val="28"/>
              </w:rPr>
              <w:t xml:space="preserve">     </w:t>
            </w:r>
          </w:p>
        </w:tc>
      </w:tr>
      <w:tr w:rsidR="00C01515">
        <w:trPr>
          <w:jc w:val="center"/>
        </w:trPr>
        <w:tc>
          <w:tcPr>
            <w:tcW w:w="1005" w:type="dxa"/>
            <w:vMerge/>
            <w:tcBorders>
              <w:left w:val="single" w:sz="8" w:space="0" w:color="000000"/>
              <w:bottom w:val="single" w:sz="8" w:space="0" w:color="000000"/>
              <w:right w:val="single" w:sz="4" w:space="0" w:color="auto"/>
            </w:tcBorders>
            <w:tcMar>
              <w:top w:w="0" w:type="dxa"/>
              <w:left w:w="108" w:type="dxa"/>
              <w:bottom w:w="0" w:type="dxa"/>
              <w:right w:w="108" w:type="dxa"/>
            </w:tcMar>
            <w:vAlign w:val="center"/>
          </w:tcPr>
          <w:p w:rsidR="00C01515" w:rsidRDefault="00C01515">
            <w:pPr>
              <w:widowControl/>
              <w:spacing w:line="490" w:lineRule="atLeast"/>
              <w:jc w:val="center"/>
              <w:rPr>
                <w:rFonts w:ascii="仿宋_GB2312" w:eastAsia="仿宋_GB2312" w:hAnsi="仿宋_GB2312" w:cs="仿宋_GB2312" w:hint="eastAsia"/>
                <w:kern w:val="0"/>
                <w:sz w:val="28"/>
                <w:szCs w:val="28"/>
              </w:rPr>
            </w:pPr>
          </w:p>
        </w:tc>
        <w:tc>
          <w:tcPr>
            <w:tcW w:w="901" w:type="dxa"/>
            <w:tcBorders>
              <w:top w:val="nil"/>
              <w:left w:val="single" w:sz="4" w:space="0" w:color="auto"/>
              <w:bottom w:val="single" w:sz="8" w:space="0" w:color="000000"/>
              <w:right w:val="single" w:sz="8" w:space="0" w:color="000000"/>
            </w:tcBorders>
            <w:vAlign w:val="center"/>
          </w:tcPr>
          <w:p w:rsidR="00C01515" w:rsidRDefault="00C01515">
            <w:pPr>
              <w:widowControl/>
              <w:spacing w:line="490"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范围</w:t>
            </w:r>
          </w:p>
        </w:tc>
        <w:tc>
          <w:tcPr>
            <w:tcW w:w="661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A414C2">
            <w:pPr>
              <w:spacing w:line="490" w:lineRule="exact"/>
              <w:ind w:firstLineChars="200" w:firstLine="560"/>
              <w:rPr>
                <w:rFonts w:ascii="仿宋_GB2312" w:eastAsia="仿宋_GB2312" w:hAnsi="仿宋_GB2312" w:cs="仿宋_GB2312" w:hint="eastAsia"/>
                <w:kern w:val="0"/>
                <w:sz w:val="28"/>
                <w:szCs w:val="28"/>
              </w:rPr>
            </w:pPr>
            <w:r>
              <w:rPr>
                <w:rFonts w:ascii="仿宋_GB2312" w:eastAsia="仿宋_GB2312" w:hAnsi="仿宋_GB2312" w:cs="仿宋_GB2312" w:hint="eastAsia"/>
                <w:sz w:val="28"/>
                <w:szCs w:val="28"/>
              </w:rPr>
              <w:t>新型干法旋窑熟料水泥生产线（包括原料、烧成、成品、包装）和相关的公辅设施（包括余热发电、供配电、脱硝、机修过控、化验、过磅等）</w:t>
            </w:r>
          </w:p>
        </w:tc>
      </w:tr>
      <w:tr w:rsidR="00C01515">
        <w:trPr>
          <w:trHeight w:val="143"/>
          <w:jc w:val="center"/>
        </w:trPr>
        <w:tc>
          <w:tcPr>
            <w:tcW w:w="1906" w:type="dxa"/>
            <w:gridSpan w:val="2"/>
            <w:vMerge w:val="restart"/>
            <w:tcBorders>
              <w:top w:val="nil"/>
              <w:left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143"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现场调查</w:t>
            </w:r>
          </w:p>
        </w:tc>
        <w:tc>
          <w:tcPr>
            <w:tcW w:w="23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143"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专业人员</w:t>
            </w:r>
          </w:p>
        </w:tc>
        <w:tc>
          <w:tcPr>
            <w:tcW w:w="427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261D41">
            <w:pPr>
              <w:widowControl/>
              <w:spacing w:line="143"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黄永进</w:t>
            </w:r>
          </w:p>
        </w:tc>
      </w:tr>
      <w:tr w:rsidR="00C01515">
        <w:trPr>
          <w:trHeight w:val="143"/>
          <w:jc w:val="center"/>
        </w:trPr>
        <w:tc>
          <w:tcPr>
            <w:tcW w:w="1906" w:type="dxa"/>
            <w:gridSpan w:val="2"/>
            <w:vMerge/>
            <w:tcBorders>
              <w:left w:val="single" w:sz="8" w:space="0" w:color="000000"/>
              <w:right w:val="single" w:sz="8" w:space="0" w:color="000000"/>
            </w:tcBorders>
            <w:vAlign w:val="center"/>
          </w:tcPr>
          <w:p w:rsidR="00C01515" w:rsidRDefault="00C01515">
            <w:pPr>
              <w:widowControl/>
              <w:jc w:val="center"/>
              <w:rPr>
                <w:rFonts w:ascii="仿宋_GB2312" w:eastAsia="仿宋_GB2312" w:hAnsi="仿宋_GB2312" w:cs="仿宋_GB2312" w:hint="eastAsia"/>
                <w:kern w:val="0"/>
                <w:sz w:val="28"/>
                <w:szCs w:val="28"/>
              </w:rPr>
            </w:pPr>
          </w:p>
        </w:tc>
        <w:tc>
          <w:tcPr>
            <w:tcW w:w="23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143"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时间</w:t>
            </w:r>
          </w:p>
        </w:tc>
        <w:tc>
          <w:tcPr>
            <w:tcW w:w="427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C01515" w:rsidP="00261D41">
            <w:pPr>
              <w:widowControl/>
              <w:spacing w:line="143"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202</w:t>
            </w:r>
            <w:r w:rsidR="00261D41">
              <w:rPr>
                <w:rFonts w:ascii="仿宋_GB2312" w:eastAsia="仿宋_GB2312" w:hAnsi="仿宋_GB2312" w:cs="仿宋_GB2312" w:hint="eastAsia"/>
                <w:kern w:val="0"/>
                <w:sz w:val="28"/>
                <w:szCs w:val="28"/>
              </w:rPr>
              <w:t>0</w:t>
            </w:r>
            <w:r>
              <w:rPr>
                <w:rFonts w:ascii="仿宋_GB2312" w:eastAsia="仿宋_GB2312" w:hAnsi="仿宋_GB2312" w:cs="仿宋_GB2312" w:hint="eastAsia"/>
                <w:kern w:val="0"/>
                <w:sz w:val="28"/>
                <w:szCs w:val="28"/>
              </w:rPr>
              <w:t>年</w:t>
            </w:r>
            <w:r w:rsidR="00261D41">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月</w:t>
            </w:r>
            <w:r w:rsidR="00261D41">
              <w:rPr>
                <w:rFonts w:ascii="仿宋_GB2312" w:eastAsia="仿宋_GB2312" w:hAnsi="仿宋_GB2312" w:cs="仿宋_GB2312" w:hint="eastAsia"/>
                <w:kern w:val="0"/>
                <w:sz w:val="28"/>
                <w:szCs w:val="28"/>
              </w:rPr>
              <w:t>2日</w:t>
            </w:r>
          </w:p>
        </w:tc>
      </w:tr>
      <w:tr w:rsidR="00C01515">
        <w:trPr>
          <w:trHeight w:val="143"/>
          <w:jc w:val="center"/>
        </w:trPr>
        <w:tc>
          <w:tcPr>
            <w:tcW w:w="1906" w:type="dxa"/>
            <w:gridSpan w:val="2"/>
            <w:vMerge/>
            <w:tcBorders>
              <w:left w:val="single" w:sz="8" w:space="0" w:color="000000"/>
              <w:bottom w:val="single" w:sz="8" w:space="0" w:color="000000"/>
              <w:right w:val="single" w:sz="8" w:space="0" w:color="000000"/>
            </w:tcBorders>
            <w:vAlign w:val="center"/>
          </w:tcPr>
          <w:p w:rsidR="00C01515" w:rsidRDefault="00C01515">
            <w:pPr>
              <w:widowControl/>
              <w:jc w:val="center"/>
              <w:rPr>
                <w:rFonts w:ascii="仿宋_GB2312" w:eastAsia="仿宋_GB2312" w:hAnsi="仿宋_GB2312" w:cs="仿宋_GB2312" w:hint="eastAsia"/>
                <w:kern w:val="0"/>
                <w:sz w:val="28"/>
                <w:szCs w:val="28"/>
              </w:rPr>
            </w:pPr>
          </w:p>
        </w:tc>
        <w:tc>
          <w:tcPr>
            <w:tcW w:w="23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143"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用人单位/建设单位陪同人</w:t>
            </w:r>
          </w:p>
        </w:tc>
        <w:tc>
          <w:tcPr>
            <w:tcW w:w="427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261D41">
            <w:pPr>
              <w:widowControl/>
              <w:spacing w:line="143"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苏伟</w:t>
            </w:r>
          </w:p>
        </w:tc>
      </w:tr>
      <w:tr w:rsidR="00C01515">
        <w:trPr>
          <w:trHeight w:val="143"/>
          <w:jc w:val="center"/>
        </w:trPr>
        <w:tc>
          <w:tcPr>
            <w:tcW w:w="1906" w:type="dxa"/>
            <w:gridSpan w:val="2"/>
            <w:vMerge w:val="restart"/>
            <w:tcBorders>
              <w:top w:val="nil"/>
              <w:left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143"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现场采样/检测</w:t>
            </w:r>
          </w:p>
        </w:tc>
        <w:tc>
          <w:tcPr>
            <w:tcW w:w="23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143"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专业人员</w:t>
            </w:r>
          </w:p>
        </w:tc>
        <w:tc>
          <w:tcPr>
            <w:tcW w:w="427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261D41">
            <w:pPr>
              <w:widowControl/>
              <w:spacing w:line="143"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黄永进</w:t>
            </w:r>
            <w:r w:rsidR="00C01515">
              <w:rPr>
                <w:rFonts w:ascii="仿宋_GB2312" w:eastAsia="仿宋_GB2312" w:hAnsi="仿宋_GB2312" w:cs="仿宋_GB2312" w:hint="eastAsia"/>
                <w:kern w:val="0"/>
                <w:sz w:val="28"/>
                <w:szCs w:val="28"/>
              </w:rPr>
              <w:t>、王平</w:t>
            </w:r>
          </w:p>
        </w:tc>
      </w:tr>
      <w:tr w:rsidR="00C01515">
        <w:trPr>
          <w:trHeight w:val="143"/>
          <w:jc w:val="center"/>
        </w:trPr>
        <w:tc>
          <w:tcPr>
            <w:tcW w:w="1906" w:type="dxa"/>
            <w:gridSpan w:val="2"/>
            <w:vMerge/>
            <w:tcBorders>
              <w:left w:val="single" w:sz="8" w:space="0" w:color="000000"/>
              <w:right w:val="single" w:sz="8" w:space="0" w:color="000000"/>
            </w:tcBorders>
            <w:vAlign w:val="center"/>
          </w:tcPr>
          <w:p w:rsidR="00C01515" w:rsidRDefault="00C01515">
            <w:pPr>
              <w:widowControl/>
              <w:jc w:val="center"/>
              <w:rPr>
                <w:rFonts w:ascii="仿宋_GB2312" w:eastAsia="仿宋_GB2312" w:hAnsi="仿宋_GB2312" w:cs="仿宋_GB2312" w:hint="eastAsia"/>
                <w:kern w:val="0"/>
                <w:sz w:val="28"/>
                <w:szCs w:val="28"/>
              </w:rPr>
            </w:pPr>
          </w:p>
        </w:tc>
        <w:tc>
          <w:tcPr>
            <w:tcW w:w="23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143"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时间</w:t>
            </w:r>
          </w:p>
        </w:tc>
        <w:tc>
          <w:tcPr>
            <w:tcW w:w="427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C01515" w:rsidP="00261D41">
            <w:pPr>
              <w:widowControl/>
              <w:spacing w:line="143"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202</w:t>
            </w:r>
            <w:r w:rsidR="00261D41">
              <w:rPr>
                <w:rFonts w:ascii="仿宋_GB2312" w:eastAsia="仿宋_GB2312" w:hAnsi="仿宋_GB2312" w:cs="仿宋_GB2312" w:hint="eastAsia"/>
                <w:kern w:val="0"/>
                <w:sz w:val="28"/>
                <w:szCs w:val="28"/>
              </w:rPr>
              <w:t>0</w:t>
            </w:r>
            <w:r>
              <w:rPr>
                <w:rFonts w:ascii="仿宋_GB2312" w:eastAsia="仿宋_GB2312" w:hAnsi="仿宋_GB2312" w:cs="仿宋_GB2312" w:hint="eastAsia"/>
                <w:kern w:val="0"/>
                <w:sz w:val="28"/>
                <w:szCs w:val="28"/>
              </w:rPr>
              <w:t>年</w:t>
            </w:r>
            <w:r w:rsidR="00261D41">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月</w:t>
            </w:r>
            <w:r w:rsidR="00261D41">
              <w:rPr>
                <w:rFonts w:ascii="仿宋_GB2312" w:eastAsia="仿宋_GB2312" w:hAnsi="仿宋_GB2312" w:cs="仿宋_GB2312" w:hint="eastAsia"/>
                <w:kern w:val="0"/>
                <w:sz w:val="28"/>
                <w:szCs w:val="28"/>
              </w:rPr>
              <w:t>31日至4月2日</w:t>
            </w:r>
          </w:p>
        </w:tc>
      </w:tr>
      <w:tr w:rsidR="00C01515">
        <w:trPr>
          <w:trHeight w:val="143"/>
          <w:jc w:val="center"/>
        </w:trPr>
        <w:tc>
          <w:tcPr>
            <w:tcW w:w="1906" w:type="dxa"/>
            <w:gridSpan w:val="2"/>
            <w:vMerge/>
            <w:tcBorders>
              <w:left w:val="single" w:sz="8" w:space="0" w:color="000000"/>
              <w:bottom w:val="single" w:sz="8" w:space="0" w:color="000000"/>
              <w:right w:val="single" w:sz="8" w:space="0" w:color="000000"/>
            </w:tcBorders>
            <w:vAlign w:val="center"/>
          </w:tcPr>
          <w:p w:rsidR="00C01515" w:rsidRDefault="00C01515">
            <w:pPr>
              <w:widowControl/>
              <w:jc w:val="center"/>
              <w:rPr>
                <w:rFonts w:ascii="仿宋_GB2312" w:eastAsia="仿宋_GB2312" w:hAnsi="仿宋_GB2312" w:cs="仿宋_GB2312" w:hint="eastAsia"/>
                <w:kern w:val="0"/>
                <w:sz w:val="28"/>
                <w:szCs w:val="28"/>
              </w:rPr>
            </w:pPr>
          </w:p>
        </w:tc>
        <w:tc>
          <w:tcPr>
            <w:tcW w:w="23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143"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用人单位/建设单位陪同人</w:t>
            </w:r>
          </w:p>
        </w:tc>
        <w:tc>
          <w:tcPr>
            <w:tcW w:w="427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01515" w:rsidRDefault="00261D41">
            <w:pPr>
              <w:widowControl/>
              <w:spacing w:line="143"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苏伟</w:t>
            </w:r>
          </w:p>
        </w:tc>
      </w:tr>
      <w:tr w:rsidR="00C01515">
        <w:trPr>
          <w:trHeight w:val="746"/>
          <w:jc w:val="center"/>
        </w:trPr>
        <w:tc>
          <w:tcPr>
            <w:tcW w:w="19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01515" w:rsidRDefault="00C01515">
            <w:pPr>
              <w:widowControl/>
              <w:spacing w:line="315" w:lineRule="atLeas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劳动者接触的职业病危害因素</w:t>
            </w:r>
          </w:p>
        </w:tc>
        <w:tc>
          <w:tcPr>
            <w:tcW w:w="661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61D41" w:rsidRPr="00765E5A" w:rsidRDefault="00261D41" w:rsidP="00261D41">
            <w:pPr>
              <w:numPr>
                <w:ilvl w:val="0"/>
                <w:numId w:val="2"/>
              </w:numPr>
              <w:spacing w:line="490" w:lineRule="exact"/>
              <w:ind w:firstLineChars="200" w:firstLine="560"/>
              <w:textAlignment w:val="center"/>
              <w:rPr>
                <w:rFonts w:ascii="仿宋_GB2312" w:eastAsia="仿宋_GB2312" w:hAnsi="仿宋_GB2312" w:cs="仿宋_GB2312"/>
                <w:sz w:val="28"/>
                <w:szCs w:val="28"/>
              </w:rPr>
            </w:pPr>
            <w:r w:rsidRPr="00765E5A">
              <w:rPr>
                <w:rFonts w:ascii="仿宋_GB2312" w:eastAsia="仿宋_GB2312" w:hAnsi="仿宋_GB2312" w:cs="仿宋_GB2312" w:hint="eastAsia"/>
                <w:sz w:val="28"/>
                <w:szCs w:val="28"/>
              </w:rPr>
              <w:t>粉尘类：矽尘、煤尘、水泥粉尘。</w:t>
            </w:r>
          </w:p>
          <w:p w:rsidR="00261D41" w:rsidRPr="00765E5A" w:rsidRDefault="00261D41" w:rsidP="00261D41">
            <w:pPr>
              <w:numPr>
                <w:ilvl w:val="0"/>
                <w:numId w:val="2"/>
              </w:numPr>
              <w:spacing w:line="490" w:lineRule="exact"/>
              <w:ind w:firstLineChars="200" w:firstLine="560"/>
              <w:textAlignment w:val="center"/>
              <w:rPr>
                <w:rFonts w:ascii="仿宋_GB2312" w:eastAsia="仿宋_GB2312" w:hAnsi="仿宋_GB2312" w:cs="仿宋_GB2312"/>
                <w:sz w:val="28"/>
                <w:szCs w:val="28"/>
              </w:rPr>
            </w:pPr>
            <w:r w:rsidRPr="00765E5A">
              <w:rPr>
                <w:rFonts w:ascii="仿宋_GB2312" w:eastAsia="仿宋_GB2312" w:hAnsi="仿宋_GB2312" w:cs="仿宋_GB2312" w:hint="eastAsia"/>
                <w:sz w:val="28"/>
                <w:szCs w:val="28"/>
              </w:rPr>
              <w:t>化学有害因素：氨、一氧化碳。</w:t>
            </w:r>
          </w:p>
          <w:p w:rsidR="00C01515" w:rsidRPr="00261D41" w:rsidRDefault="00261D41" w:rsidP="00261D41">
            <w:pPr>
              <w:spacing w:line="490" w:lineRule="exact"/>
              <w:ind w:firstLineChars="200" w:firstLine="560"/>
              <w:textAlignment w:val="center"/>
              <w:rPr>
                <w:rFonts w:ascii="仿宋_GB2312" w:eastAsia="仿宋" w:hAnsi="仿宋_GB2312" w:cs="仿宋_GB2312" w:hint="eastAsia"/>
                <w:kern w:val="0"/>
                <w:sz w:val="28"/>
                <w:szCs w:val="28"/>
              </w:rPr>
            </w:pPr>
            <w:r>
              <w:rPr>
                <w:rFonts w:ascii="仿宋_GB2312" w:eastAsia="仿宋_GB2312" w:hAnsi="仿宋_GB2312" w:cs="仿宋_GB2312" w:hint="eastAsia"/>
                <w:sz w:val="28"/>
                <w:szCs w:val="28"/>
              </w:rPr>
              <w:t>c、物理因素：噪声、高温。</w:t>
            </w:r>
          </w:p>
        </w:tc>
      </w:tr>
      <w:tr w:rsidR="00C01515">
        <w:trPr>
          <w:trHeight w:val="143"/>
          <w:jc w:val="center"/>
        </w:trPr>
        <w:tc>
          <w:tcPr>
            <w:tcW w:w="1906"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470" w:lineRule="atLeast"/>
              <w:jc w:val="center"/>
              <w:rPr>
                <w:rFonts w:ascii="仿宋_GB2312" w:eastAsia="仿宋_GB2312" w:hint="eastAsia"/>
                <w:color w:val="000000"/>
                <w:sz w:val="24"/>
              </w:rPr>
            </w:pPr>
            <w:r>
              <w:rPr>
                <w:rFonts w:ascii="仿宋_GB2312" w:eastAsia="仿宋_GB2312" w:hint="eastAsia"/>
                <w:color w:val="000000"/>
                <w:sz w:val="24"/>
              </w:rPr>
              <w:t>结论</w:t>
            </w:r>
          </w:p>
        </w:tc>
        <w:tc>
          <w:tcPr>
            <w:tcW w:w="6614"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C01515" w:rsidRDefault="00C01515">
            <w:pPr>
              <w:spacing w:line="490" w:lineRule="exact"/>
              <w:rPr>
                <w:rFonts w:hint="eastAsia"/>
              </w:rPr>
            </w:pPr>
            <w:bookmarkStart w:id="1" w:name="_Toc17489"/>
            <w:r>
              <w:rPr>
                <w:rFonts w:ascii="仿宋_GB2312" w:eastAsia="仿宋_GB2312" w:hAnsi="仿宋_GB2312" w:cs="仿宋_GB2312" w:hint="eastAsia"/>
                <w:sz w:val="28"/>
              </w:rPr>
              <w:t>1、</w:t>
            </w:r>
            <w:r w:rsidR="00261D41">
              <w:rPr>
                <w:rFonts w:ascii="仿宋_GB2312" w:eastAsia="仿宋_GB2312" w:hAnsi="仿宋_GB2312" w:cs="仿宋_GB2312" w:hint="eastAsia"/>
                <w:sz w:val="28"/>
              </w:rPr>
              <w:t>粉尘</w:t>
            </w:r>
          </w:p>
          <w:p w:rsidR="00C01515" w:rsidRDefault="00C01515">
            <w:pPr>
              <w:spacing w:line="490" w:lineRule="exact"/>
              <w:jc w:val="left"/>
              <w:rPr>
                <w:rFonts w:ascii="仿宋_GB2312" w:eastAsia="仿宋_GB2312"/>
                <w:bCs/>
                <w:kern w:val="0"/>
                <w:sz w:val="28"/>
                <w:szCs w:val="28"/>
              </w:rPr>
            </w:pPr>
            <w:r>
              <w:rPr>
                <w:rFonts w:ascii="仿宋_GB2312" w:eastAsia="仿宋_GB2312" w:hint="eastAsia"/>
                <w:bCs/>
                <w:kern w:val="0"/>
                <w:sz w:val="28"/>
                <w:szCs w:val="28"/>
              </w:rPr>
              <w:lastRenderedPageBreak/>
              <w:t>（1）</w:t>
            </w:r>
            <w:r w:rsidR="00261D41">
              <w:rPr>
                <w:rFonts w:ascii="仿宋_GB2312" w:eastAsia="仿宋_GB2312" w:hint="eastAsia"/>
                <w:bCs/>
                <w:kern w:val="0"/>
                <w:sz w:val="28"/>
                <w:szCs w:val="28"/>
              </w:rPr>
              <w:t>个体粉尘</w:t>
            </w:r>
          </w:p>
          <w:p w:rsidR="00261D41" w:rsidRDefault="00261D41" w:rsidP="00261D41">
            <w:pPr>
              <w:spacing w:line="490" w:lineRule="exact"/>
              <w:ind w:firstLineChars="200" w:firstLine="560"/>
              <w:rPr>
                <w:rFonts w:ascii="仿宋_GB2312" w:eastAsia="仿宋_GB2312" w:hAnsi="仿宋_GB2312" w:cs="仿宋_GB2312"/>
                <w:b/>
                <w:bCs/>
                <w:color w:val="000000"/>
                <w:sz w:val="28"/>
                <w:szCs w:val="28"/>
              </w:rPr>
            </w:pPr>
            <w:r>
              <w:rPr>
                <w:rFonts w:ascii="仿宋_GB2312" w:eastAsia="仿宋_GB2312" w:hAnsi="仿宋_GB2312" w:cs="仿宋_GB2312" w:hint="eastAsia"/>
                <w:bCs/>
                <w:color w:val="000000"/>
                <w:sz w:val="28"/>
                <w:szCs w:val="28"/>
              </w:rPr>
              <w:t>本次个体检测了8个岗位，其中运煤工、配料工、包装工、装卸工</w:t>
            </w:r>
            <w:r>
              <w:rPr>
                <w:rFonts w:ascii="仿宋_GB2312" w:eastAsia="仿宋_GB2312" w:hAnsi="仿宋_GB2312" w:cs="仿宋_GB2312" w:hint="eastAsia"/>
                <w:sz w:val="28"/>
              </w:rPr>
              <w:t>检测结果总尘和呼尘均超出了职业接触限值要求，煤磨工总尘超出了职业接触限值要求，其余各测点</w:t>
            </w:r>
            <w:r>
              <w:rPr>
                <w:rFonts w:ascii="仿宋_GB2312" w:eastAsia="仿宋_GB2312" w:hAnsi="仿宋_GB2312" w:cs="仿宋_GB2312" w:hint="eastAsia"/>
                <w:bCs/>
                <w:color w:val="000000"/>
                <w:sz w:val="28"/>
                <w:szCs w:val="28"/>
              </w:rPr>
              <w:t>8小时接触浓度均符合国家职业接触限值要求。</w:t>
            </w:r>
          </w:p>
          <w:p w:rsidR="00C01515" w:rsidRDefault="00C01515">
            <w:pPr>
              <w:spacing w:line="490" w:lineRule="exact"/>
              <w:jc w:val="left"/>
              <w:rPr>
                <w:rFonts w:ascii="仿宋_GB2312" w:eastAsia="仿宋_GB2312" w:hint="eastAsia"/>
                <w:bCs/>
                <w:kern w:val="0"/>
                <w:sz w:val="28"/>
                <w:szCs w:val="28"/>
              </w:rPr>
            </w:pPr>
            <w:r>
              <w:rPr>
                <w:rFonts w:ascii="仿宋_GB2312" w:eastAsia="仿宋_GB2312" w:hint="eastAsia"/>
                <w:bCs/>
                <w:kern w:val="0"/>
                <w:sz w:val="28"/>
                <w:szCs w:val="28"/>
              </w:rPr>
              <w:t>（2）</w:t>
            </w:r>
            <w:r w:rsidR="00261D41">
              <w:rPr>
                <w:rFonts w:ascii="仿宋_GB2312" w:eastAsia="仿宋_GB2312" w:hint="eastAsia"/>
                <w:bCs/>
                <w:kern w:val="0"/>
                <w:sz w:val="28"/>
                <w:szCs w:val="28"/>
              </w:rPr>
              <w:t>定点粉尘</w:t>
            </w:r>
          </w:p>
          <w:p w:rsidR="00261D41" w:rsidRDefault="00261D41" w:rsidP="00261D41">
            <w:pPr>
              <w:spacing w:line="490" w:lineRule="exact"/>
              <w:ind w:firstLineChars="200" w:firstLine="560"/>
              <w:rPr>
                <w:rFonts w:ascii="仿宋_GB2312" w:eastAsia="仿宋_GB2312"/>
                <w:color w:val="000000"/>
                <w:sz w:val="28"/>
                <w:szCs w:val="28"/>
              </w:rPr>
            </w:pPr>
            <w:r w:rsidRPr="00542B1A">
              <w:rPr>
                <w:rFonts w:ascii="仿宋_GB2312" w:eastAsia="仿宋_GB2312" w:hAnsi="仿宋_GB2312" w:cs="仿宋_GB2312" w:hint="eastAsia"/>
                <w:sz w:val="28"/>
              </w:rPr>
              <w:t>本次定点粉尘</w:t>
            </w:r>
            <w:r w:rsidRPr="00AE7648">
              <w:rPr>
                <w:rFonts w:ascii="仿宋_GB2312" w:eastAsia="仿宋_GB2312" w:hAnsi="仿宋_GB2312" w:cs="仿宋_GB2312" w:hint="eastAsia"/>
                <w:sz w:val="28"/>
              </w:rPr>
              <w:t>峰接触浓度</w:t>
            </w:r>
            <w:r w:rsidRPr="00542B1A">
              <w:rPr>
                <w:rFonts w:ascii="仿宋_GB2312" w:eastAsia="仿宋_GB2312" w:hAnsi="仿宋_GB2312" w:cs="仿宋_GB2312" w:hint="eastAsia"/>
                <w:sz w:val="28"/>
              </w:rPr>
              <w:t>共检测了</w:t>
            </w:r>
            <w:r>
              <w:rPr>
                <w:rFonts w:ascii="仿宋_GB2312" w:eastAsia="仿宋_GB2312" w:hAnsi="仿宋_GB2312" w:cs="仿宋_GB2312" w:hint="eastAsia"/>
                <w:sz w:val="28"/>
              </w:rPr>
              <w:t>14</w:t>
            </w:r>
            <w:r w:rsidRPr="00542B1A">
              <w:rPr>
                <w:rFonts w:ascii="仿宋_GB2312" w:eastAsia="仿宋_GB2312" w:hAnsi="仿宋_GB2312" w:cs="仿宋_GB2312" w:hint="eastAsia"/>
                <w:sz w:val="28"/>
              </w:rPr>
              <w:t>个点，</w:t>
            </w:r>
            <w:r>
              <w:rPr>
                <w:rFonts w:ascii="仿宋_GB2312" w:eastAsia="仿宋_GB2312" w:hAnsi="仿宋_GB2312" w:cs="仿宋_GB2312" w:hint="eastAsia"/>
                <w:sz w:val="28"/>
              </w:rPr>
              <w:t>总尘检测结果：原料堆场、下料口、转运皮带、煤堆场、输料皮带、1#包装机、2#包装机、散装机和装卸点超出了职业接触限值要求，其中原料堆场、转运皮带、输料皮带、散装机</w:t>
            </w:r>
            <w:r w:rsidRPr="00542B1A">
              <w:rPr>
                <w:rFonts w:ascii="仿宋_GB2312" w:eastAsia="仿宋_GB2312" w:hAnsi="仿宋_GB2312" w:cs="仿宋_GB2312" w:hint="eastAsia"/>
                <w:sz w:val="28"/>
              </w:rPr>
              <w:t>粉尘</w:t>
            </w:r>
            <w:r w:rsidRPr="00AE7648">
              <w:rPr>
                <w:rFonts w:ascii="仿宋_GB2312" w:eastAsia="仿宋_GB2312" w:hAnsi="仿宋_GB2312" w:cs="仿宋_GB2312" w:hint="eastAsia"/>
                <w:sz w:val="28"/>
              </w:rPr>
              <w:t>峰接触浓度</w:t>
            </w:r>
            <w:r>
              <w:rPr>
                <w:rFonts w:ascii="仿宋_GB2312" w:eastAsia="仿宋_GB2312" w:hAnsi="仿宋_GB2312" w:cs="仿宋_GB2312" w:hint="eastAsia"/>
                <w:sz w:val="28"/>
              </w:rPr>
              <w:t>超过</w:t>
            </w:r>
            <w:r w:rsidRPr="00454426">
              <w:rPr>
                <w:rFonts w:ascii="仿宋_GB2312" w:eastAsia="仿宋_GB2312" w:hint="eastAsia"/>
                <w:color w:val="000000"/>
                <w:sz w:val="28"/>
              </w:rPr>
              <w:t>PC-TWA</w:t>
            </w:r>
            <w:r>
              <w:rPr>
                <w:rFonts w:ascii="仿宋_GB2312" w:eastAsia="仿宋_GB2312" w:hint="eastAsia"/>
                <w:color w:val="000000"/>
                <w:sz w:val="28"/>
              </w:rPr>
              <w:t>值</w:t>
            </w:r>
            <w:r>
              <w:rPr>
                <w:rFonts w:ascii="仿宋_GB2312" w:eastAsia="仿宋_GB2312" w:hAnsi="仿宋_GB2312" w:cs="仿宋_GB2312" w:hint="eastAsia"/>
                <w:sz w:val="28"/>
              </w:rPr>
              <w:t>1倍未达到3倍；下料口和装卸点</w:t>
            </w:r>
            <w:r w:rsidRPr="00542B1A">
              <w:rPr>
                <w:rFonts w:ascii="仿宋_GB2312" w:eastAsia="仿宋_GB2312" w:hAnsi="仿宋_GB2312" w:cs="仿宋_GB2312" w:hint="eastAsia"/>
                <w:sz w:val="28"/>
              </w:rPr>
              <w:t>粉尘</w:t>
            </w:r>
            <w:r w:rsidRPr="00AE7648">
              <w:rPr>
                <w:rFonts w:ascii="仿宋_GB2312" w:eastAsia="仿宋_GB2312" w:hAnsi="仿宋_GB2312" w:cs="仿宋_GB2312" w:hint="eastAsia"/>
                <w:sz w:val="28"/>
              </w:rPr>
              <w:t>峰接触浓度</w:t>
            </w:r>
            <w:r>
              <w:rPr>
                <w:rFonts w:ascii="仿宋_GB2312" w:eastAsia="仿宋_GB2312" w:hAnsi="仿宋_GB2312" w:cs="仿宋_GB2312" w:hint="eastAsia"/>
                <w:sz w:val="28"/>
              </w:rPr>
              <w:t>超过</w:t>
            </w:r>
            <w:r w:rsidRPr="00454426">
              <w:rPr>
                <w:rFonts w:ascii="仿宋_GB2312" w:eastAsia="仿宋_GB2312" w:hint="eastAsia"/>
                <w:color w:val="000000"/>
                <w:sz w:val="28"/>
              </w:rPr>
              <w:t>PC-TWA</w:t>
            </w:r>
            <w:r>
              <w:rPr>
                <w:rFonts w:ascii="仿宋_GB2312" w:eastAsia="仿宋_GB2312" w:hint="eastAsia"/>
                <w:color w:val="000000"/>
                <w:sz w:val="28"/>
              </w:rPr>
              <w:t>值</w:t>
            </w:r>
            <w:r>
              <w:rPr>
                <w:rFonts w:ascii="仿宋_GB2312" w:eastAsia="仿宋_GB2312" w:hAnsi="仿宋_GB2312" w:cs="仿宋_GB2312" w:hint="eastAsia"/>
                <w:sz w:val="28"/>
              </w:rPr>
              <w:t>3倍未达到5倍；煤堆场、1#包装机和2#包装机</w:t>
            </w:r>
            <w:r w:rsidRPr="00542B1A">
              <w:rPr>
                <w:rFonts w:ascii="仿宋_GB2312" w:eastAsia="仿宋_GB2312" w:hAnsi="仿宋_GB2312" w:cs="仿宋_GB2312" w:hint="eastAsia"/>
                <w:sz w:val="28"/>
              </w:rPr>
              <w:t>粉尘</w:t>
            </w:r>
            <w:r w:rsidRPr="00AE7648">
              <w:rPr>
                <w:rFonts w:ascii="仿宋_GB2312" w:eastAsia="仿宋_GB2312" w:hAnsi="仿宋_GB2312" w:cs="仿宋_GB2312" w:hint="eastAsia"/>
                <w:sz w:val="28"/>
              </w:rPr>
              <w:t>峰接触浓度</w:t>
            </w:r>
            <w:r>
              <w:rPr>
                <w:rFonts w:ascii="仿宋_GB2312" w:eastAsia="仿宋_GB2312" w:hAnsi="仿宋_GB2312" w:cs="仿宋_GB2312" w:hint="eastAsia"/>
                <w:sz w:val="28"/>
              </w:rPr>
              <w:t>超过</w:t>
            </w:r>
            <w:r w:rsidRPr="00454426">
              <w:rPr>
                <w:rFonts w:ascii="仿宋_GB2312" w:eastAsia="仿宋_GB2312" w:hint="eastAsia"/>
                <w:color w:val="000000"/>
                <w:sz w:val="28"/>
              </w:rPr>
              <w:t>PC-TWA</w:t>
            </w:r>
            <w:r>
              <w:rPr>
                <w:rFonts w:ascii="仿宋_GB2312" w:eastAsia="仿宋_GB2312" w:hint="eastAsia"/>
                <w:color w:val="000000"/>
                <w:sz w:val="28"/>
              </w:rPr>
              <w:t>值5倍以上</w:t>
            </w:r>
            <w:r w:rsidRPr="00542B1A">
              <w:rPr>
                <w:rFonts w:ascii="仿宋_GB2312" w:eastAsia="仿宋_GB2312" w:hAnsi="仿宋_GB2312" w:cs="仿宋_GB2312" w:hint="eastAsia"/>
                <w:sz w:val="28"/>
              </w:rPr>
              <w:t>。</w:t>
            </w:r>
            <w:r>
              <w:rPr>
                <w:rFonts w:ascii="仿宋_GB2312" w:eastAsia="仿宋_GB2312" w:hAnsi="仿宋_GB2312" w:cs="仿宋_GB2312" w:hint="eastAsia"/>
                <w:sz w:val="28"/>
              </w:rPr>
              <w:t>呼尘检测结果：原料堆场、下料口、转运皮带、煤堆场、制成堆场、输料皮带、1#包装机、2#包装机、散装机和装卸点超出了职业接触限值要求，其中原料堆场、下料口、转运皮带、制成堆场、输料皮带、散装机和装卸点</w:t>
            </w:r>
            <w:r w:rsidRPr="00542B1A">
              <w:rPr>
                <w:rFonts w:ascii="仿宋_GB2312" w:eastAsia="仿宋_GB2312" w:hAnsi="仿宋_GB2312" w:cs="仿宋_GB2312" w:hint="eastAsia"/>
                <w:sz w:val="28"/>
              </w:rPr>
              <w:t>粉尘</w:t>
            </w:r>
            <w:r w:rsidRPr="00AE7648">
              <w:rPr>
                <w:rFonts w:ascii="仿宋_GB2312" w:eastAsia="仿宋_GB2312" w:hAnsi="仿宋_GB2312" w:cs="仿宋_GB2312" w:hint="eastAsia"/>
                <w:sz w:val="28"/>
              </w:rPr>
              <w:t>峰接触浓度</w:t>
            </w:r>
            <w:r>
              <w:rPr>
                <w:rFonts w:ascii="仿宋_GB2312" w:eastAsia="仿宋_GB2312" w:hAnsi="仿宋_GB2312" w:cs="仿宋_GB2312" w:hint="eastAsia"/>
                <w:sz w:val="28"/>
              </w:rPr>
              <w:t>超过</w:t>
            </w:r>
            <w:r w:rsidRPr="00454426">
              <w:rPr>
                <w:rFonts w:ascii="仿宋_GB2312" w:eastAsia="仿宋_GB2312" w:hint="eastAsia"/>
                <w:color w:val="000000"/>
                <w:sz w:val="28"/>
              </w:rPr>
              <w:t>PC-TWA</w:t>
            </w:r>
            <w:r>
              <w:rPr>
                <w:rFonts w:ascii="仿宋_GB2312" w:eastAsia="仿宋_GB2312" w:hint="eastAsia"/>
                <w:color w:val="000000"/>
                <w:sz w:val="28"/>
              </w:rPr>
              <w:t>值</w:t>
            </w:r>
            <w:r>
              <w:rPr>
                <w:rFonts w:ascii="仿宋_GB2312" w:eastAsia="仿宋_GB2312" w:hAnsi="仿宋_GB2312" w:cs="仿宋_GB2312" w:hint="eastAsia"/>
                <w:sz w:val="28"/>
              </w:rPr>
              <w:t>1倍未达到3倍；煤堆场、1#包装机和2#包装机</w:t>
            </w:r>
            <w:r w:rsidRPr="00542B1A">
              <w:rPr>
                <w:rFonts w:ascii="仿宋_GB2312" w:eastAsia="仿宋_GB2312" w:hAnsi="仿宋_GB2312" w:cs="仿宋_GB2312" w:hint="eastAsia"/>
                <w:sz w:val="28"/>
              </w:rPr>
              <w:t>粉尘</w:t>
            </w:r>
            <w:r w:rsidRPr="00AE7648">
              <w:rPr>
                <w:rFonts w:ascii="仿宋_GB2312" w:eastAsia="仿宋_GB2312" w:hAnsi="仿宋_GB2312" w:cs="仿宋_GB2312" w:hint="eastAsia"/>
                <w:sz w:val="28"/>
              </w:rPr>
              <w:t>峰接触浓度</w:t>
            </w:r>
            <w:r>
              <w:rPr>
                <w:rFonts w:ascii="仿宋_GB2312" w:eastAsia="仿宋_GB2312" w:hAnsi="仿宋_GB2312" w:cs="仿宋_GB2312" w:hint="eastAsia"/>
                <w:sz w:val="28"/>
              </w:rPr>
              <w:t>超过</w:t>
            </w:r>
            <w:r w:rsidRPr="00454426">
              <w:rPr>
                <w:rFonts w:ascii="仿宋_GB2312" w:eastAsia="仿宋_GB2312" w:hint="eastAsia"/>
                <w:color w:val="000000"/>
                <w:sz w:val="28"/>
              </w:rPr>
              <w:t>PC-TWA</w:t>
            </w:r>
            <w:r>
              <w:rPr>
                <w:rFonts w:ascii="仿宋_GB2312" w:eastAsia="仿宋_GB2312" w:hint="eastAsia"/>
                <w:color w:val="000000"/>
                <w:sz w:val="28"/>
              </w:rPr>
              <w:t>值5倍以上</w:t>
            </w:r>
            <w:r w:rsidRPr="00542B1A">
              <w:rPr>
                <w:rFonts w:ascii="仿宋_GB2312" w:eastAsia="仿宋_GB2312" w:hAnsi="仿宋_GB2312" w:cs="仿宋_GB2312" w:hint="eastAsia"/>
                <w:sz w:val="28"/>
              </w:rPr>
              <w:t>。</w:t>
            </w:r>
            <w:r>
              <w:rPr>
                <w:rFonts w:ascii="仿宋_GB2312" w:eastAsia="仿宋_GB2312" w:hAnsi="仿宋_GB2312" w:cs="仿宋_GB2312" w:hint="eastAsia"/>
                <w:sz w:val="28"/>
              </w:rPr>
              <w:t>其它各检测点</w:t>
            </w:r>
            <w:r>
              <w:rPr>
                <w:rFonts w:ascii="仿宋_GB2312" w:eastAsia="仿宋_GB2312" w:hint="eastAsia"/>
                <w:color w:val="000000"/>
                <w:sz w:val="28"/>
                <w:szCs w:val="28"/>
              </w:rPr>
              <w:t>符合国家职业接触限值要求。</w:t>
            </w:r>
          </w:p>
          <w:p w:rsidR="00261D41" w:rsidRDefault="00261D41">
            <w:pPr>
              <w:spacing w:line="490" w:lineRule="exact"/>
              <w:rPr>
                <w:rFonts w:ascii="仿宋_GB2312" w:eastAsia="仿宋_GB2312" w:hAnsi="仿宋_GB2312" w:cs="仿宋_GB2312" w:hint="eastAsia"/>
                <w:sz w:val="28"/>
              </w:rPr>
            </w:pPr>
            <w:r>
              <w:rPr>
                <w:rFonts w:ascii="仿宋_GB2312" w:eastAsia="仿宋_GB2312" w:hAnsi="仿宋_GB2312" w:cs="仿宋_GB2312" w:hint="eastAsia"/>
                <w:sz w:val="28"/>
              </w:rPr>
              <w:t>2、一氧化碳</w:t>
            </w:r>
          </w:p>
          <w:p w:rsidR="00261D41" w:rsidRPr="00BD4BBB" w:rsidRDefault="00261D41" w:rsidP="00261D41">
            <w:pPr>
              <w:spacing w:line="500" w:lineRule="exact"/>
              <w:ind w:firstLineChars="200" w:firstLine="560"/>
              <w:jc w:val="left"/>
              <w:rPr>
                <w:rFonts w:ascii="仿宋_GB2312" w:eastAsia="仿宋_GB2312" w:hAnsi="仿宋_GB2312" w:cs="仿宋_GB2312"/>
                <w:sz w:val="28"/>
              </w:rPr>
            </w:pPr>
            <w:r>
              <w:rPr>
                <w:rFonts w:ascii="仿宋_GB2312" w:eastAsia="仿宋_GB2312" w:hAnsi="仿宋_GB2312" w:cs="仿宋_GB2312" w:hint="eastAsia"/>
                <w:sz w:val="28"/>
              </w:rPr>
              <w:t>本次一氧化碳检测2个点，均</w:t>
            </w:r>
            <w:r w:rsidRPr="00BD4BBB">
              <w:rPr>
                <w:rFonts w:ascii="仿宋_GB2312" w:eastAsia="仿宋_GB2312" w:hAnsi="仿宋_GB2312" w:cs="仿宋_GB2312" w:hint="eastAsia"/>
                <w:sz w:val="28"/>
              </w:rPr>
              <w:t>符合国家职业接触限值要求。</w:t>
            </w:r>
          </w:p>
          <w:p w:rsidR="00261D41" w:rsidRPr="00BD4BBB" w:rsidRDefault="00261D41" w:rsidP="00261D41">
            <w:pPr>
              <w:spacing w:line="5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rPr>
              <w:t>本次一氧化碳</w:t>
            </w:r>
            <w:r w:rsidRPr="00261D41">
              <w:rPr>
                <w:rFonts w:ascii="仿宋_GB2312" w:eastAsia="仿宋_GB2312" w:hAnsi="仿宋_GB2312" w:cs="仿宋_GB2312" w:hint="eastAsia"/>
                <w:color w:val="000000"/>
                <w:sz w:val="28"/>
                <w:szCs w:val="28"/>
              </w:rPr>
              <w:t>计算岗位时间加权浓度计算结果C</w:t>
            </w:r>
            <w:r w:rsidRPr="00261D41">
              <w:rPr>
                <w:rFonts w:ascii="仿宋_GB2312" w:eastAsia="仿宋_GB2312" w:hAnsi="仿宋_GB2312" w:cs="仿宋_GB2312" w:hint="eastAsia"/>
                <w:color w:val="000000"/>
                <w:sz w:val="28"/>
                <w:szCs w:val="28"/>
                <w:vertAlign w:val="subscript"/>
              </w:rPr>
              <w:t>TWA</w:t>
            </w:r>
            <w:r w:rsidRPr="00BD4BBB">
              <w:rPr>
                <w:rFonts w:ascii="仿宋_GB2312" w:eastAsia="仿宋_GB2312" w:hAnsi="仿宋_GB2312" w:cs="仿宋_GB2312" w:hint="eastAsia"/>
                <w:sz w:val="28"/>
              </w:rPr>
              <w:t>符合国家职业接触限值要求。</w:t>
            </w:r>
          </w:p>
          <w:p w:rsidR="00C01515" w:rsidRDefault="00261D41">
            <w:pPr>
              <w:spacing w:line="490" w:lineRule="exact"/>
              <w:rPr>
                <w:rFonts w:ascii="仿宋_GB2312" w:eastAsia="仿宋_GB2312" w:hAnsi="仿宋_GB2312" w:cs="仿宋_GB2312" w:hint="eastAsia"/>
                <w:sz w:val="28"/>
              </w:rPr>
            </w:pPr>
            <w:r>
              <w:rPr>
                <w:rFonts w:ascii="仿宋_GB2312" w:eastAsia="仿宋_GB2312" w:hAnsi="仿宋_GB2312" w:cs="仿宋_GB2312" w:hint="eastAsia"/>
                <w:sz w:val="28"/>
              </w:rPr>
              <w:lastRenderedPageBreak/>
              <w:t>3</w:t>
            </w:r>
            <w:r w:rsidR="00C01515">
              <w:rPr>
                <w:rFonts w:ascii="仿宋_GB2312" w:eastAsia="仿宋_GB2312" w:hAnsi="仿宋_GB2312" w:cs="仿宋_GB2312" w:hint="eastAsia"/>
                <w:sz w:val="28"/>
              </w:rPr>
              <w:t>、噪声</w:t>
            </w:r>
          </w:p>
          <w:p w:rsidR="00261D41" w:rsidRPr="00BD4BBB" w:rsidRDefault="00261D41" w:rsidP="00261D41">
            <w:pPr>
              <w:spacing w:line="5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rPr>
              <w:t>本次个体噪声共检测10个作业岗位，煤磨工、篦冷机工和预热器工超过国家</w:t>
            </w:r>
            <w:r w:rsidRPr="00BD4BBB">
              <w:rPr>
                <w:rFonts w:ascii="仿宋_GB2312" w:eastAsia="仿宋_GB2312" w:hAnsi="仿宋_GB2312" w:cs="仿宋_GB2312" w:hint="eastAsia"/>
                <w:sz w:val="28"/>
              </w:rPr>
              <w:t>职业接触限值要求</w:t>
            </w:r>
            <w:r>
              <w:rPr>
                <w:rFonts w:ascii="仿宋_GB2312" w:eastAsia="仿宋_GB2312" w:hAnsi="仿宋_GB2312" w:cs="仿宋_GB2312" w:hint="eastAsia"/>
                <w:sz w:val="28"/>
              </w:rPr>
              <w:t>，其他岗位检测均</w:t>
            </w:r>
            <w:r w:rsidRPr="00BD4BBB">
              <w:rPr>
                <w:rFonts w:ascii="仿宋_GB2312" w:eastAsia="仿宋_GB2312" w:hAnsi="仿宋_GB2312" w:cs="仿宋_GB2312" w:hint="eastAsia"/>
                <w:sz w:val="28"/>
              </w:rPr>
              <w:t>符合国家职业接触限值要求。</w:t>
            </w:r>
          </w:p>
          <w:p w:rsidR="00C01515" w:rsidRDefault="00261D41">
            <w:pPr>
              <w:spacing w:line="490" w:lineRule="exact"/>
              <w:jc w:val="left"/>
              <w:rPr>
                <w:rFonts w:ascii="仿宋_GB2312" w:eastAsia="仿宋_GB2312"/>
                <w:color w:val="000000"/>
                <w:kern w:val="0"/>
                <w:sz w:val="28"/>
                <w:szCs w:val="28"/>
              </w:rPr>
            </w:pPr>
            <w:r>
              <w:rPr>
                <w:rFonts w:ascii="仿宋_GB2312" w:eastAsia="仿宋_GB2312" w:hint="eastAsia"/>
                <w:color w:val="000000"/>
                <w:kern w:val="0"/>
                <w:sz w:val="28"/>
                <w:szCs w:val="28"/>
              </w:rPr>
              <w:t>4</w:t>
            </w:r>
            <w:r w:rsidR="00C01515">
              <w:rPr>
                <w:rFonts w:ascii="仿宋_GB2312" w:eastAsia="仿宋_GB2312" w:hint="eastAsia"/>
                <w:color w:val="000000"/>
                <w:kern w:val="0"/>
                <w:sz w:val="28"/>
                <w:szCs w:val="28"/>
              </w:rPr>
              <w:t>、</w:t>
            </w:r>
            <w:r>
              <w:rPr>
                <w:rFonts w:ascii="仿宋_GB2312" w:eastAsia="仿宋_GB2312" w:hint="eastAsia"/>
                <w:color w:val="000000"/>
                <w:kern w:val="0"/>
                <w:sz w:val="28"/>
                <w:szCs w:val="28"/>
              </w:rPr>
              <w:t>高温</w:t>
            </w:r>
          </w:p>
          <w:p w:rsidR="00261D41" w:rsidRDefault="00261D41" w:rsidP="00261D41">
            <w:pPr>
              <w:spacing w:line="5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rPr>
              <w:t>本次高温检测2个作业岗位，均</w:t>
            </w:r>
            <w:r w:rsidRPr="00BD4BBB">
              <w:rPr>
                <w:rFonts w:ascii="仿宋_GB2312" w:eastAsia="仿宋_GB2312" w:hAnsi="仿宋_GB2312" w:cs="仿宋_GB2312" w:hint="eastAsia"/>
                <w:sz w:val="28"/>
              </w:rPr>
              <w:t>符合国家职业接触限值要求。</w:t>
            </w:r>
          </w:p>
          <w:p w:rsidR="00C01515" w:rsidRDefault="00C01515">
            <w:pPr>
              <w:spacing w:line="490" w:lineRule="exact"/>
              <w:jc w:val="left"/>
              <w:rPr>
                <w:rFonts w:ascii="仿宋_GB2312" w:eastAsia="仿宋_GB2312" w:hint="eastAsia"/>
                <w:color w:val="000000"/>
                <w:kern w:val="0"/>
                <w:sz w:val="28"/>
                <w:szCs w:val="28"/>
              </w:rPr>
            </w:pPr>
            <w:r>
              <w:rPr>
                <w:rFonts w:ascii="仿宋_GB2312" w:eastAsia="仿宋_GB2312" w:hint="eastAsia"/>
                <w:color w:val="000000"/>
                <w:kern w:val="0"/>
                <w:sz w:val="28"/>
                <w:szCs w:val="28"/>
              </w:rPr>
              <w:t>5、采光照明、微小气候</w:t>
            </w:r>
          </w:p>
          <w:p w:rsidR="00C01515" w:rsidRDefault="00C01515" w:rsidP="00261D41">
            <w:pPr>
              <w:spacing w:line="490" w:lineRule="exact"/>
              <w:ind w:firstLineChars="200" w:firstLine="560"/>
              <w:jc w:val="left"/>
              <w:rPr>
                <w:rFonts w:ascii="仿宋_GB2312" w:eastAsia="仿宋_GB2312" w:hint="eastAsia"/>
                <w:color w:val="000000"/>
                <w:sz w:val="24"/>
              </w:rPr>
            </w:pPr>
            <w:r>
              <w:rPr>
                <w:rFonts w:ascii="仿宋_GB2312" w:eastAsia="仿宋_GB2312" w:hint="eastAsia"/>
                <w:color w:val="000000"/>
                <w:kern w:val="0"/>
                <w:sz w:val="28"/>
                <w:szCs w:val="28"/>
              </w:rPr>
              <w:t>本次检测的照度、微小气候</w:t>
            </w:r>
            <w:r>
              <w:rPr>
                <w:rFonts w:ascii="仿宋_GB2312" w:eastAsia="仿宋_GB2312" w:hAnsi="仿宋_GB2312" w:hint="eastAsia"/>
                <w:color w:val="000000"/>
                <w:sz w:val="28"/>
                <w:szCs w:val="28"/>
              </w:rPr>
              <w:t>仅供参考</w:t>
            </w:r>
            <w:r>
              <w:rPr>
                <w:rFonts w:ascii="仿宋_GB2312" w:eastAsia="仿宋_GB2312" w:hint="eastAsia"/>
                <w:color w:val="000000"/>
                <w:sz w:val="28"/>
                <w:szCs w:val="28"/>
              </w:rPr>
              <w:t>。</w:t>
            </w:r>
            <w:bookmarkEnd w:id="1"/>
          </w:p>
        </w:tc>
      </w:tr>
      <w:tr w:rsidR="00C01515">
        <w:trPr>
          <w:trHeight w:val="143"/>
          <w:jc w:val="center"/>
        </w:trPr>
        <w:tc>
          <w:tcPr>
            <w:tcW w:w="19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C01515" w:rsidRDefault="00C01515">
            <w:pPr>
              <w:widowControl/>
              <w:spacing w:line="470" w:lineRule="atLeast"/>
              <w:jc w:val="center"/>
              <w:rPr>
                <w:rFonts w:ascii="仿宋_GB2312" w:eastAsia="仿宋_GB2312" w:hint="eastAsia"/>
                <w:color w:val="000000"/>
                <w:sz w:val="24"/>
              </w:rPr>
            </w:pPr>
            <w:r>
              <w:rPr>
                <w:rFonts w:ascii="仿宋_GB2312" w:eastAsia="仿宋_GB2312" w:hint="eastAsia"/>
                <w:color w:val="000000"/>
                <w:sz w:val="24"/>
              </w:rPr>
              <w:lastRenderedPageBreak/>
              <w:t>建议</w:t>
            </w:r>
          </w:p>
        </w:tc>
        <w:tc>
          <w:tcPr>
            <w:tcW w:w="6614"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F82A19" w:rsidRDefault="00F82A19" w:rsidP="00F82A19">
            <w:pPr>
              <w:autoSpaceDE w:val="0"/>
              <w:autoSpaceDN w:val="0"/>
              <w:adjustRightInd w:val="0"/>
              <w:spacing w:line="500" w:lineRule="exact"/>
              <w:outlineLvl w:val="1"/>
              <w:rPr>
                <w:rFonts w:ascii="仿宋_GB2312" w:eastAsia="仿宋_GB2312" w:hAnsi="仿宋_GB2312" w:cs="仿宋_GB2312"/>
                <w:b/>
                <w:color w:val="000000"/>
                <w:sz w:val="28"/>
                <w:szCs w:val="28"/>
              </w:rPr>
            </w:pPr>
            <w:r>
              <w:rPr>
                <w:rFonts w:ascii="仿宋_GB2312" w:eastAsia="仿宋_GB2312" w:hAnsi="仿宋_GB2312" w:cs="仿宋_GB2312" w:hint="eastAsia"/>
                <w:b/>
                <w:color w:val="000000"/>
                <w:sz w:val="28"/>
                <w:szCs w:val="28"/>
              </w:rPr>
              <w:t>组织管理</w:t>
            </w:r>
          </w:p>
          <w:p w:rsidR="00F82A19" w:rsidRDefault="00F82A19" w:rsidP="00F82A19">
            <w:pPr>
              <w:spacing w:line="500" w:lineRule="exact"/>
              <w:ind w:firstLineChars="200" w:firstLine="560"/>
              <w:rPr>
                <w:rFonts w:ascii="仿宋_GB2312" w:eastAsia="仿宋_GB2312" w:hAnsi="仿宋_GB2312" w:cs="仿宋_GB2312"/>
                <w:color w:val="000000"/>
                <w:kern w:val="144"/>
                <w:sz w:val="28"/>
                <w:szCs w:val="28"/>
              </w:rPr>
            </w:pPr>
            <w:r>
              <w:rPr>
                <w:rFonts w:ascii="仿宋_GB2312" w:eastAsia="仿宋_GB2312" w:hAnsi="仿宋_GB2312" w:cs="仿宋_GB2312" w:hint="eastAsia"/>
                <w:color w:val="000000"/>
                <w:sz w:val="28"/>
                <w:szCs w:val="28"/>
              </w:rPr>
              <w:t>（1）根据</w:t>
            </w:r>
            <w:r>
              <w:rPr>
                <w:rFonts w:ascii="仿宋_GB2312" w:eastAsia="仿宋_GB2312" w:hAnsi="仿宋_GB2312" w:cs="仿宋_GB2312" w:hint="eastAsia"/>
                <w:color w:val="000000"/>
                <w:kern w:val="144"/>
                <w:sz w:val="28"/>
                <w:szCs w:val="28"/>
              </w:rPr>
              <w:t>《用人单位职业病危害告知与警示标识管理规范的通知》安监总厅安健〔2014〕111号的要求，结合企业情况，建议加强在与员工签订劳动合同时，增加书面的职业病危害因素种类、危害程度告知并签名并作为合同附件归档；同时还需在厂区醒目位置设置完善职业病危害因素检测结果告知卡，更新告知职业职业病危害因素检测结果；完善</w:t>
            </w:r>
            <w:r>
              <w:rPr>
                <w:rFonts w:ascii="仿宋_GB2312" w:eastAsia="仿宋_GB2312" w:hAnsi="仿宋_GB2312" w:cs="仿宋_GB2312" w:hint="eastAsia"/>
                <w:color w:val="000000"/>
                <w:sz w:val="28"/>
                <w:szCs w:val="28"/>
              </w:rPr>
              <w:t>职业卫生管理的规章制度及严格执行</w:t>
            </w:r>
            <w:r>
              <w:rPr>
                <w:rFonts w:ascii="仿宋_GB2312" w:eastAsia="仿宋_GB2312" w:hAnsi="仿宋_GB2312" w:cs="仿宋_GB2312" w:hint="eastAsia"/>
                <w:color w:val="000000"/>
                <w:kern w:val="144"/>
                <w:sz w:val="28"/>
                <w:szCs w:val="28"/>
              </w:rPr>
              <w:t>。</w:t>
            </w:r>
          </w:p>
          <w:p w:rsidR="00F82A19" w:rsidRDefault="00F82A19" w:rsidP="00F82A19">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（2）根据《职业卫生档案管理规范》安监总厅安健〔2013〕171号的要求，建议规范管理职业卫生档案。完善以下各大档案：</w:t>
            </w:r>
          </w:p>
          <w:p w:rsidR="00F82A19" w:rsidRDefault="00F82A19" w:rsidP="00F82A19">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①建设项目职业卫生档案</w:t>
            </w:r>
          </w:p>
          <w:p w:rsidR="00F82A19" w:rsidRDefault="00F82A19" w:rsidP="00F82A19">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②职业病危害项目申报档案</w:t>
            </w:r>
          </w:p>
          <w:p w:rsidR="00F82A19" w:rsidRDefault="00F82A19" w:rsidP="00F82A19">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③职业卫生管理制度档案</w:t>
            </w:r>
          </w:p>
          <w:p w:rsidR="00F82A19" w:rsidRDefault="00F82A19" w:rsidP="00F82A19">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④职业卫生管理实施档案</w:t>
            </w:r>
          </w:p>
          <w:p w:rsidR="00F82A19" w:rsidRDefault="00F82A19" w:rsidP="00F82A19">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⑤职业卫生宣传培训档案</w:t>
            </w:r>
          </w:p>
          <w:p w:rsidR="00F82A19" w:rsidRDefault="00F82A19" w:rsidP="00F82A19">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⑥职业病危害因素监测与检测评价档案</w:t>
            </w:r>
          </w:p>
          <w:p w:rsidR="00F82A19" w:rsidRDefault="00F82A19" w:rsidP="00F82A19">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⑦劳动者职业健康监护档案</w:t>
            </w:r>
          </w:p>
          <w:p w:rsidR="00F82A19" w:rsidRDefault="00F82A19" w:rsidP="00F82A19">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bCs/>
                <w:color w:val="000000"/>
                <w:sz w:val="28"/>
                <w:szCs w:val="28"/>
              </w:rPr>
              <w:t>（3）</w:t>
            </w:r>
            <w:r>
              <w:rPr>
                <w:rFonts w:ascii="仿宋_GB2312" w:eastAsia="仿宋_GB2312" w:hAnsi="仿宋_GB2312" w:cs="仿宋_GB2312" w:hint="eastAsia"/>
                <w:color w:val="000000"/>
                <w:sz w:val="28"/>
                <w:szCs w:val="28"/>
              </w:rPr>
              <w:t>根据国家安全生产监督管理总局令第47号《工作场所职业卫生监督管理规定》第九条的规定：用人单位的主要负责人和职业卫生管理人员应当具备与本单位所从事的生产经营活动相适应的职业卫生知识和管理能力，并接受职业卫生培训。</w:t>
            </w:r>
          </w:p>
          <w:p w:rsidR="00F82A19" w:rsidRDefault="00F82A19" w:rsidP="00F82A19">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用人单位主要负责人、职业卫生管理人员的职业卫生培训，应当包括下列主要内容：</w:t>
            </w:r>
          </w:p>
          <w:p w:rsidR="00F82A19" w:rsidRDefault="00F82A19" w:rsidP="00F82A19">
            <w:pPr>
              <w:spacing w:line="500" w:lineRule="exact"/>
              <w:ind w:firstLineChars="248" w:firstLine="694"/>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a.职业卫生相关法律、法规、规章和国家职业卫生标准；</w:t>
            </w:r>
          </w:p>
          <w:p w:rsidR="00F82A19" w:rsidRDefault="00F82A19" w:rsidP="00F82A19">
            <w:pPr>
              <w:spacing w:line="500" w:lineRule="exact"/>
              <w:ind w:firstLineChars="248" w:firstLine="694"/>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b.职业病危害预防和控制的基本知识；</w:t>
            </w:r>
          </w:p>
          <w:p w:rsidR="00F82A19" w:rsidRDefault="00F82A19" w:rsidP="00F82A19">
            <w:pPr>
              <w:spacing w:line="500" w:lineRule="exact"/>
              <w:ind w:firstLineChars="248" w:firstLine="694"/>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c.职业卫生管理相关知识；</w:t>
            </w:r>
          </w:p>
          <w:p w:rsidR="00F82A19" w:rsidRDefault="00F82A19" w:rsidP="00F82A19">
            <w:pPr>
              <w:spacing w:line="500" w:lineRule="exact"/>
              <w:ind w:firstLineChars="248" w:firstLine="694"/>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d.上级主管部门规定的其他内容。</w:t>
            </w:r>
          </w:p>
          <w:p w:rsidR="00F82A19" w:rsidRDefault="00F82A19" w:rsidP="00F82A19">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结合企业情况，建议参照规定的培训内容，完善公司的培训内容。</w:t>
            </w:r>
          </w:p>
          <w:p w:rsidR="00F82A19" w:rsidRDefault="00F82A19" w:rsidP="00F82A19">
            <w:pPr>
              <w:numPr>
                <w:ilvl w:val="0"/>
                <w:numId w:val="3"/>
              </w:num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按《工作场所职业卫生监督管理规定》第十三条，用人单位工作场所存在职业病目录所列职业病的危害因素的，应当按照《职业病危害项目申报办法》的规定，及时、如实向所在地职业卫生监管部门申报职业病危害项目。</w:t>
            </w:r>
          </w:p>
          <w:p w:rsidR="00F82A19" w:rsidRDefault="00F82A19" w:rsidP="00F82A19">
            <w:pPr>
              <w:numPr>
                <w:ilvl w:val="0"/>
                <w:numId w:val="3"/>
              </w:num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根据《用人单位职业健康监护监督管理办法》2012年国家安监局49号令第十三条和十九条的要求：公司应当根据劳动者所接触的职业病危害因素，定期安排劳动者进行在岗期间的职业健康检查，为劳动者个人建立职业健康监护档案，并按照有关规定妥善保存。结合企业情况，建议参照GB188-2014的要求，组织员工进行岗前、在岗、离岗期间的职业</w:t>
            </w:r>
            <w:r>
              <w:rPr>
                <w:rFonts w:ascii="仿宋_GB2312" w:eastAsia="仿宋_GB2312" w:hAnsi="仿宋_GB2312" w:cs="仿宋_GB2312" w:hint="eastAsia"/>
                <w:color w:val="000000"/>
                <w:sz w:val="28"/>
                <w:szCs w:val="28"/>
              </w:rPr>
              <w:lastRenderedPageBreak/>
              <w:t>健康体检，并建立职业健康监护档案。</w:t>
            </w:r>
          </w:p>
          <w:p w:rsidR="00F82A19" w:rsidRDefault="00F82A19" w:rsidP="00F82A19">
            <w:pPr>
              <w:autoSpaceDE w:val="0"/>
              <w:autoSpaceDN w:val="0"/>
              <w:adjustRightInd w:val="0"/>
              <w:spacing w:beforeLines="25" w:before="78" w:line="500" w:lineRule="exact"/>
              <w:outlineLvl w:val="1"/>
              <w:rPr>
                <w:rFonts w:ascii="仿宋_GB2312" w:eastAsia="仿宋_GB2312" w:hAnsi="仿宋_GB2312" w:cs="仿宋_GB2312"/>
                <w:b/>
                <w:color w:val="000000"/>
                <w:sz w:val="28"/>
                <w:szCs w:val="28"/>
              </w:rPr>
            </w:pPr>
            <w:bookmarkStart w:id="2" w:name="_Toc438028351"/>
            <w:bookmarkStart w:id="3" w:name="_Toc433114225"/>
            <w:bookmarkStart w:id="4" w:name="_Toc24478"/>
            <w:bookmarkStart w:id="5" w:name="_Toc24355"/>
            <w:bookmarkStart w:id="6" w:name="_Toc57635277"/>
            <w:r>
              <w:rPr>
                <w:rFonts w:ascii="仿宋_GB2312" w:eastAsia="仿宋_GB2312" w:hAnsi="仿宋_GB2312" w:cs="仿宋_GB2312" w:hint="eastAsia"/>
                <w:b/>
                <w:color w:val="000000"/>
                <w:sz w:val="28"/>
                <w:szCs w:val="28"/>
              </w:rPr>
              <w:t>工程技术</w:t>
            </w:r>
            <w:bookmarkEnd w:id="2"/>
            <w:bookmarkEnd w:id="3"/>
            <w:bookmarkEnd w:id="4"/>
            <w:bookmarkEnd w:id="5"/>
            <w:bookmarkEnd w:id="6"/>
          </w:p>
          <w:p w:rsidR="00F82A19" w:rsidRDefault="00F82A19" w:rsidP="00F82A19">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bCs/>
                <w:sz w:val="28"/>
                <w:szCs w:val="28"/>
              </w:rPr>
              <w:t>云南普洱西南水泥</w:t>
            </w:r>
            <w:r>
              <w:rPr>
                <w:rFonts w:ascii="仿宋_GB2312" w:eastAsia="仿宋_GB2312" w:hAnsi="仿宋_GB2312" w:cs="仿宋_GB2312" w:hint="eastAsia"/>
                <w:sz w:val="28"/>
                <w:szCs w:val="28"/>
              </w:rPr>
              <w:t>应对除尘设施（收尘器下料灰斗内部、收尘布袋、脉冲振打情况等）进行定期清理和检维修，加强收尘系统密闭及有效收尘，保证风量，使除尘设施保持良好的工作状态，加强局部通风效果。</w:t>
            </w:r>
          </w:p>
          <w:p w:rsidR="00F82A19" w:rsidRDefault="00F82A19" w:rsidP="00F82A19">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及时清理工作场所内设备设施及地面的积尘，避免产生二次扬尘，特别是水泥包装和袋装水泥装车环节。每天对包装机进行罐装嘴的密封维护、灰尘清理等，保证包装机各个部位的洁净，避免配件上大量积压灰尘，这样有助于减轻配件的磨损。</w:t>
            </w:r>
          </w:p>
          <w:p w:rsidR="00F82A19" w:rsidRDefault="00F82A19" w:rsidP="00F82A19">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3、尽量选择符合规范要求的包装编织袋，减少包装过程中的喷灰、破袋，保障包装生产过程中的环境卫生。</w:t>
            </w:r>
          </w:p>
          <w:p w:rsidR="00F82A19" w:rsidRDefault="00F82A19" w:rsidP="00F82A19">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建议根据包装岗位的实际情况，适当加大上部吸尘风机风量；同时及时清理包装机底部、接包机、正包机、清包机等作业点除尘装置的清理，并确保包装工段除尘器的除尘风量和效率；建议根据装车机的运行特点，设置能随车尾随时移动的活动除尘风管，风管之间可采用橡胶软管联接。同时，在溜板下部设置吸尘罩，将水泥装车过程中产生的扬尘及时有效的抽吸，吸尘风机要有足够的处理风量。</w:t>
            </w:r>
          </w:p>
          <w:p w:rsidR="00F82A19" w:rsidRDefault="00F82A19" w:rsidP="00F82A19">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5、建议进一步完善场地洒水工作，适当增加洒水频次、（如根据天气情况、现场情况确定洒水时间和每天洒水量）。</w:t>
            </w:r>
          </w:p>
          <w:p w:rsidR="00F82A19" w:rsidRDefault="00F82A19" w:rsidP="00F82A19">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6、加强对设备设施的检维修，防止跑、冒现象</w:t>
            </w:r>
            <w:r>
              <w:rPr>
                <w:rFonts w:ascii="仿宋_GB2312" w:eastAsia="仿宋_GB2312" w:hAnsi="仿宋_GB2312" w:cs="仿宋_GB2312" w:hint="eastAsia"/>
                <w:sz w:val="28"/>
                <w:szCs w:val="28"/>
              </w:rPr>
              <w:lastRenderedPageBreak/>
              <w:t>的发生，特别是辊压机、选粉机、熟料和水泥气力输送装置等的密封。</w:t>
            </w:r>
          </w:p>
          <w:p w:rsidR="00F82A19" w:rsidRDefault="00F82A19" w:rsidP="00F82A19">
            <w:pPr>
              <w:autoSpaceDE w:val="0"/>
              <w:autoSpaceDN w:val="0"/>
              <w:adjustRightInd w:val="0"/>
              <w:spacing w:beforeLines="25" w:before="78" w:line="500" w:lineRule="exact"/>
              <w:outlineLvl w:val="1"/>
              <w:rPr>
                <w:rFonts w:ascii="仿宋_GB2312" w:eastAsia="仿宋_GB2312" w:hAnsi="仿宋_GB2312" w:cs="仿宋_GB2312"/>
                <w:b/>
                <w:color w:val="000000"/>
                <w:sz w:val="28"/>
                <w:szCs w:val="28"/>
              </w:rPr>
            </w:pPr>
            <w:bookmarkStart w:id="7" w:name="_Toc438028352"/>
            <w:bookmarkStart w:id="8" w:name="_Toc433114226"/>
            <w:bookmarkStart w:id="9" w:name="_Toc16060"/>
            <w:bookmarkStart w:id="10" w:name="_Toc1916"/>
            <w:bookmarkStart w:id="11" w:name="_Toc57635280"/>
            <w:r>
              <w:rPr>
                <w:rFonts w:ascii="仿宋_GB2312" w:eastAsia="仿宋_GB2312" w:hAnsi="仿宋_GB2312" w:cs="仿宋_GB2312" w:hint="eastAsia"/>
                <w:b/>
                <w:color w:val="000000"/>
                <w:sz w:val="28"/>
                <w:szCs w:val="28"/>
              </w:rPr>
              <w:t>个人防护</w:t>
            </w:r>
            <w:bookmarkEnd w:id="7"/>
            <w:bookmarkEnd w:id="8"/>
            <w:bookmarkEnd w:id="9"/>
            <w:bookmarkEnd w:id="10"/>
            <w:bookmarkEnd w:id="11"/>
          </w:p>
          <w:p w:rsidR="00F82A19" w:rsidRPr="007177A3" w:rsidRDefault="00F82A19" w:rsidP="00F82A19">
            <w:pPr>
              <w:pStyle w:val="ac"/>
              <w:numPr>
                <w:ilvl w:val="0"/>
                <w:numId w:val="4"/>
              </w:numPr>
              <w:spacing w:line="500" w:lineRule="exact"/>
              <w:ind w:firstLineChars="0"/>
              <w:rPr>
                <w:rFonts w:ascii="仿宋_GB2312" w:eastAsia="仿宋_GB2312" w:hAnsi="仿宋_GB2312" w:cs="仿宋_GB2312"/>
                <w:sz w:val="28"/>
                <w:szCs w:val="28"/>
              </w:rPr>
            </w:pPr>
            <w:r w:rsidRPr="007177A3">
              <w:rPr>
                <w:rFonts w:ascii="仿宋_GB2312" w:eastAsia="仿宋_GB2312" w:hAnsi="仿宋_GB2312" w:cs="仿宋_GB2312" w:hint="eastAsia"/>
                <w:sz w:val="28"/>
                <w:szCs w:val="28"/>
              </w:rPr>
              <w:t>加强岗位工人正确佩戴防尘口罩的教育培训，并督促工人在作业时坚持正确佩戴防尘口罩，不得使用纱布口罩。</w:t>
            </w:r>
          </w:p>
          <w:p w:rsidR="00F82A19" w:rsidRDefault="00F82A19" w:rsidP="00F82A19">
            <w:pPr>
              <w:numPr>
                <w:ilvl w:val="0"/>
                <w:numId w:val="4"/>
              </w:numPr>
              <w:tabs>
                <w:tab w:val="left" w:pos="3601"/>
              </w:tabs>
              <w:adjustRightInd w:val="0"/>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snapToGrid w:val="0"/>
                <w:color w:val="000000"/>
                <w:sz w:val="28"/>
                <w:szCs w:val="28"/>
              </w:rPr>
              <w:t>建议各工作岗位定期更换</w:t>
            </w:r>
            <w:r>
              <w:rPr>
                <w:rFonts w:ascii="仿宋_GB2312" w:eastAsia="仿宋_GB2312" w:hAnsi="仿宋_GB2312" w:cs="仿宋_GB2312" w:hint="eastAsia"/>
                <w:color w:val="000000"/>
                <w:sz w:val="28"/>
                <w:szCs w:val="28"/>
              </w:rPr>
              <w:t>符合《呼吸防护用品自吸过滤式防颗粒物呼吸器》GB2626-2006要求的防尘口罩。</w:t>
            </w:r>
          </w:p>
          <w:p w:rsidR="00F82A19" w:rsidRPr="00CF0666" w:rsidRDefault="00F82A19" w:rsidP="00F82A19">
            <w:pPr>
              <w:pStyle w:val="ac"/>
              <w:numPr>
                <w:ilvl w:val="0"/>
                <w:numId w:val="4"/>
              </w:numPr>
              <w:spacing w:line="500" w:lineRule="exact"/>
              <w:ind w:firstLineChars="0"/>
              <w:textAlignment w:val="center"/>
              <w:rPr>
                <w:rFonts w:ascii="仿宋_GB2312" w:eastAsia="仿宋_GB2312" w:hAnsi="仿宋_GB2312" w:cs="仿宋_GB2312"/>
                <w:sz w:val="28"/>
                <w:szCs w:val="28"/>
              </w:rPr>
            </w:pPr>
            <w:r w:rsidRPr="00CF0666">
              <w:rPr>
                <w:rFonts w:ascii="仿宋_GB2312" w:eastAsia="仿宋_GB2312" w:hAnsi="仿宋_GB2312" w:cs="仿宋_GB2312" w:hint="eastAsia"/>
                <w:sz w:val="28"/>
                <w:szCs w:val="28"/>
              </w:rPr>
              <w:t>当在停车检修、事故抢险、密闭空间作业时，空气中可能缺氧及毒物浓度过高，作业人员应配备携气式正压全面罩（氧气）呼吸器。</w:t>
            </w:r>
          </w:p>
          <w:p w:rsidR="00F82A19" w:rsidRPr="00CF0666" w:rsidRDefault="00F82A19" w:rsidP="00F82A19">
            <w:pPr>
              <w:pStyle w:val="ac"/>
              <w:numPr>
                <w:ilvl w:val="0"/>
                <w:numId w:val="4"/>
              </w:numPr>
              <w:spacing w:line="500" w:lineRule="exact"/>
              <w:ind w:firstLineChars="0"/>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sz w:val="28"/>
                <w:szCs w:val="28"/>
              </w:rPr>
              <w:t>对噪声较大的破碎机、提升机、煤磨机、水泥磨机、收尘器、篦冷机等单独布置，且工人主要是以巡检为主。因此，根据作业性质，建议有效监督佩戴耳塞进行有效的个人防护，以防止职业病耳聋的发生。</w:t>
            </w:r>
          </w:p>
          <w:p w:rsidR="00F82A19" w:rsidRDefault="00F82A19" w:rsidP="00F82A19">
            <w:pPr>
              <w:autoSpaceDE w:val="0"/>
              <w:autoSpaceDN w:val="0"/>
              <w:adjustRightInd w:val="0"/>
              <w:spacing w:beforeLines="25" w:before="78" w:line="500" w:lineRule="exact"/>
              <w:outlineLvl w:val="1"/>
              <w:rPr>
                <w:rFonts w:ascii="仿宋_GB2312" w:eastAsia="仿宋_GB2312" w:hAnsi="仿宋_GB2312" w:cs="仿宋_GB2312"/>
                <w:b/>
                <w:color w:val="000000"/>
                <w:sz w:val="28"/>
                <w:szCs w:val="28"/>
              </w:rPr>
            </w:pPr>
            <w:bookmarkStart w:id="12" w:name="_Toc438028353"/>
            <w:bookmarkStart w:id="13" w:name="_Toc31362"/>
            <w:bookmarkStart w:id="14" w:name="_Toc433114227"/>
            <w:bookmarkStart w:id="15" w:name="_Toc18031"/>
            <w:bookmarkStart w:id="16" w:name="_Toc57635281"/>
            <w:r>
              <w:rPr>
                <w:rFonts w:ascii="仿宋_GB2312" w:eastAsia="仿宋_GB2312" w:hAnsi="仿宋_GB2312" w:cs="仿宋_GB2312" w:hint="eastAsia"/>
                <w:b/>
                <w:color w:val="000000"/>
                <w:sz w:val="28"/>
                <w:szCs w:val="28"/>
              </w:rPr>
              <w:t>应急救援</w:t>
            </w:r>
            <w:bookmarkEnd w:id="12"/>
            <w:bookmarkEnd w:id="13"/>
            <w:bookmarkEnd w:id="14"/>
            <w:bookmarkEnd w:id="15"/>
            <w:bookmarkEnd w:id="16"/>
          </w:p>
          <w:p w:rsidR="00F82A19" w:rsidRDefault="00F82A19" w:rsidP="00F82A19">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（1）针对氨、一氧化碳中毒制定专项应急救援预案并定期进行职业病危害事故应急演练。</w:t>
            </w:r>
          </w:p>
          <w:p w:rsidR="00F82A19" w:rsidRDefault="00F82A19" w:rsidP="00F82A19">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sz w:val="28"/>
                <w:szCs w:val="28"/>
              </w:rPr>
              <w:t>企业应设置一氧化碳、氨报警装置，预报值应为该有害物质PC-STEL的1/2，警报值为PC-STEL值。</w:t>
            </w:r>
          </w:p>
          <w:p w:rsidR="00F82A19" w:rsidRDefault="00F82A19" w:rsidP="00F82A19">
            <w:pPr>
              <w:pStyle w:val="aa"/>
              <w:spacing w:before="0" w:beforeAutospacing="0" w:after="0" w:afterAutospacing="0" w:line="500" w:lineRule="exact"/>
              <w:ind w:firstLineChars="200" w:firstLine="560"/>
              <w:jc w:val="both"/>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（3）对于每个过滤式防毒面具或供氧（气）呼吸防护器应配备专用记录卡，以便记明滤毒罐（盒）或供气瓶的最后检查和更换日期，以及已用过的次数等。滤毒罐在不用时应将通路封塞，以防失效。</w:t>
            </w:r>
          </w:p>
          <w:p w:rsidR="00F82A19" w:rsidRDefault="00F82A19" w:rsidP="00F82A19">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（4）应定期检查企业在控制室配备的应急箱内物品是否损坏，以便及时更换，防止失效。面具和口罩应定期清洗、消毒，特别是公用的应在每次使用后立即进行清洗消毒，呼吸防护器应放置在阴凉干燥处。</w:t>
            </w:r>
          </w:p>
          <w:p w:rsidR="00F82A19" w:rsidRDefault="00F82A19" w:rsidP="00F82A19">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（5）用于紧急救援的呼吸防护器应定期严格检查并妥善存放在邻近可能发生事故的地点，便于及时取用。</w:t>
            </w:r>
          </w:p>
          <w:p w:rsidR="00F82A19" w:rsidRDefault="00F82A19" w:rsidP="00F82A19">
            <w:pPr>
              <w:spacing w:line="50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（6）应适时组织培训、熟悉应急救援设备的操作和使用，以防事故发生时能顺利开展应急救援工作。</w:t>
            </w:r>
          </w:p>
          <w:p w:rsidR="00F82A19" w:rsidRDefault="00F82A19" w:rsidP="00F82A19">
            <w:pPr>
              <w:spacing w:line="50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（7）应针对生产过程中产生的粉尘、毒物等有害因素危害劳动者身体健康或者引起职业病发生，以及密闭空间职业病危害，根据GBZ １的要求采取相应的应急处置措施，严格要求作业人员遵守操作规程，避免各类职业病危害的发生。（《水泥生产企业防尘防毒技术规范》AQT4247-2015 1.33）</w:t>
            </w:r>
          </w:p>
          <w:p w:rsidR="00F82A19" w:rsidRDefault="00F82A19" w:rsidP="00F82A19">
            <w:pPr>
              <w:spacing w:line="500" w:lineRule="exact"/>
              <w:ind w:firstLine="573"/>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（8）各种物料筒仓的顶部应设置可锁人孔门，在直径15m以上筒仓的下部应同时设置可锁人孔门。（《水泥生产企业防尘防毒技术规范》AQT4247-2015 1.35）</w:t>
            </w:r>
          </w:p>
          <w:p w:rsidR="00F82A19" w:rsidRDefault="00F82A19" w:rsidP="00F82A19">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（9）应当建立健全应急救援设施基本信息，以及其配置、使用、维护、检修与更换等记录，职业病危害事故应急处置记录等职业卫生档案资料。（《水泥生产企业防尘防毒技术规范》AQT4247-2015 1.38）</w:t>
            </w:r>
          </w:p>
          <w:p w:rsidR="00F82A19" w:rsidRDefault="00F82A19" w:rsidP="00F82A19">
            <w:pPr>
              <w:autoSpaceDE w:val="0"/>
              <w:autoSpaceDN w:val="0"/>
              <w:adjustRightInd w:val="0"/>
              <w:spacing w:beforeLines="50" w:before="156" w:line="500" w:lineRule="exact"/>
              <w:outlineLvl w:val="1"/>
              <w:rPr>
                <w:rFonts w:ascii="仿宋_GB2312" w:eastAsia="仿宋_GB2312" w:hAnsi="仿宋_GB2312" w:cs="仿宋_GB2312"/>
                <w:b/>
                <w:color w:val="000000"/>
                <w:sz w:val="28"/>
                <w:szCs w:val="28"/>
              </w:rPr>
            </w:pPr>
            <w:bookmarkStart w:id="17" w:name="_Toc9281"/>
            <w:bookmarkStart w:id="18" w:name="_Toc433114228"/>
            <w:bookmarkStart w:id="19" w:name="_Toc438028354"/>
            <w:bookmarkStart w:id="20" w:name="_Toc22928"/>
            <w:bookmarkStart w:id="21" w:name="_Toc57635284"/>
            <w:r>
              <w:rPr>
                <w:rFonts w:ascii="仿宋_GB2312" w:eastAsia="仿宋_GB2312" w:hAnsi="仿宋_GB2312" w:cs="仿宋_GB2312" w:hint="eastAsia"/>
                <w:b/>
                <w:color w:val="000000"/>
                <w:sz w:val="28"/>
                <w:szCs w:val="28"/>
              </w:rPr>
              <w:t>职业健康监护</w:t>
            </w:r>
            <w:bookmarkEnd w:id="17"/>
            <w:bookmarkEnd w:id="18"/>
            <w:bookmarkEnd w:id="19"/>
            <w:bookmarkEnd w:id="20"/>
            <w:bookmarkEnd w:id="21"/>
          </w:p>
          <w:p w:rsidR="00F82A19" w:rsidRDefault="00F82A19" w:rsidP="00F82A19">
            <w:pPr>
              <w:tabs>
                <w:tab w:val="left" w:pos="2910"/>
              </w:tabs>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对已制定的《职业健康监护管理制度》和《职业</w:t>
            </w:r>
            <w:r>
              <w:rPr>
                <w:rFonts w:ascii="仿宋_GB2312" w:eastAsia="仿宋_GB2312" w:hAnsi="仿宋_GB2312" w:cs="仿宋_GB2312" w:hint="eastAsia"/>
                <w:color w:val="000000"/>
                <w:sz w:val="28"/>
                <w:szCs w:val="28"/>
              </w:rPr>
              <w:lastRenderedPageBreak/>
              <w:t>健康监护档案管理制度》应严格执行，定期组织员工进行上岗前、在岗期间、离岗职业健康体检，并建立和完善职业健康监护档案，对员工档案做到一人一档。</w:t>
            </w:r>
          </w:p>
          <w:p w:rsidR="00F82A19" w:rsidRDefault="00F82A19" w:rsidP="00F82A19">
            <w:pPr>
              <w:autoSpaceDE w:val="0"/>
              <w:autoSpaceDN w:val="0"/>
              <w:adjustRightInd w:val="0"/>
              <w:spacing w:beforeLines="50" w:before="156" w:line="500" w:lineRule="exact"/>
              <w:outlineLvl w:val="1"/>
              <w:rPr>
                <w:rFonts w:ascii="仿宋_GB2312" w:eastAsia="仿宋_GB2312" w:hAnsi="仿宋_GB2312" w:cs="仿宋_GB2312"/>
                <w:b/>
                <w:color w:val="000000"/>
                <w:sz w:val="28"/>
                <w:szCs w:val="28"/>
              </w:rPr>
            </w:pPr>
            <w:bookmarkStart w:id="22" w:name="_Toc438028355"/>
            <w:bookmarkStart w:id="23" w:name="_Toc433114229"/>
            <w:bookmarkStart w:id="24" w:name="_Toc5759"/>
            <w:bookmarkStart w:id="25" w:name="_Toc2162"/>
            <w:bookmarkStart w:id="26" w:name="_Toc57635285"/>
            <w:r>
              <w:rPr>
                <w:rFonts w:ascii="仿宋_GB2312" w:eastAsia="仿宋_GB2312" w:hAnsi="仿宋_GB2312" w:cs="仿宋_GB2312" w:hint="eastAsia"/>
                <w:b/>
                <w:color w:val="000000"/>
                <w:sz w:val="28"/>
                <w:szCs w:val="28"/>
              </w:rPr>
              <w:t>特殊作业环境下的职业病防护措施</w:t>
            </w:r>
            <w:bookmarkEnd w:id="22"/>
            <w:bookmarkEnd w:id="23"/>
            <w:bookmarkEnd w:id="24"/>
            <w:bookmarkEnd w:id="25"/>
            <w:bookmarkEnd w:id="26"/>
          </w:p>
          <w:p w:rsidR="00F82A19" w:rsidRDefault="00F82A19" w:rsidP="00F82A19">
            <w:pPr>
              <w:spacing w:line="50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根据《水泥工厂筒型储存库人工清库安全规程》AQ 2047－2012及</w:t>
            </w:r>
            <w:r>
              <w:rPr>
                <w:rFonts w:ascii="仿宋_GB2312" w:eastAsia="仿宋_GB2312" w:hAnsi="仿宋_GB2312" w:cs="仿宋_GB2312" w:hint="eastAsia"/>
                <w:color w:val="000000"/>
                <w:kern w:val="144"/>
                <w:sz w:val="28"/>
                <w:szCs w:val="28"/>
              </w:rPr>
              <w:t>《密闭空间作业职业危害防护规范》GBZ/T205-2007，切实加强储库和磨机的</w:t>
            </w:r>
            <w:r>
              <w:rPr>
                <w:rFonts w:ascii="仿宋_GB2312" w:eastAsia="仿宋_GB2312" w:hAnsi="仿宋_GB2312" w:cs="仿宋_GB2312" w:hint="eastAsia"/>
                <w:color w:val="000000"/>
                <w:sz w:val="28"/>
                <w:szCs w:val="28"/>
              </w:rPr>
              <w:t>检修作业、密闭空间作业、事故抢修、清洁时的职业卫生防护，强化职业卫生培训，制定相应的操作规程。在进入密闭空间前，确保其具备准入条件，并且严禁单人进入密闭空间作业，防止窒息等安全事故的发生。</w:t>
            </w:r>
          </w:p>
          <w:p w:rsidR="00F82A19" w:rsidRDefault="00F82A19" w:rsidP="00F82A19">
            <w:pPr>
              <w:spacing w:line="5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进入密闭空间严格按《有限空间安全作业五条规定》国家安全生产监督管理总局令第69号的要求执行。</w:t>
            </w:r>
          </w:p>
          <w:p w:rsidR="00F82A19" w:rsidRDefault="00F82A19" w:rsidP="00F82A19">
            <w:pPr>
              <w:spacing w:line="500" w:lineRule="exact"/>
              <w:outlineLvl w:val="1"/>
              <w:rPr>
                <w:rFonts w:ascii="仿宋_GB2312" w:eastAsia="仿宋_GB2312" w:hAnsi="仿宋_GB2312" w:cs="仿宋_GB2312"/>
                <w:sz w:val="28"/>
                <w:szCs w:val="28"/>
              </w:rPr>
            </w:pPr>
            <w:bookmarkStart w:id="27" w:name="_Toc57635286"/>
            <w:r>
              <w:rPr>
                <w:rFonts w:ascii="仿宋_GB2312" w:eastAsia="仿宋_GB2312" w:hAnsi="仿宋_GB2312" w:cs="仿宋_GB2312" w:hint="eastAsia"/>
                <w:b/>
                <w:bCs/>
                <w:sz w:val="28"/>
                <w:szCs w:val="28"/>
              </w:rPr>
              <w:t>防暑降温方面措施及建议</w:t>
            </w:r>
            <w:bookmarkEnd w:id="27"/>
          </w:p>
          <w:p w:rsidR="00F82A19" w:rsidRDefault="00F82A19" w:rsidP="00F82A19">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a、建议尽量减少窑头和窑尾巡检作业人员的高温接触时间，尤其在夏季高温条件下适当调整劳动和休息制度，增加休息和减轻劳动强度，尽量减少高温时段作业。</w:t>
            </w:r>
          </w:p>
          <w:p w:rsidR="00F82A19" w:rsidRDefault="00F82A19" w:rsidP="00F82A19">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根据国家安全监管总局办公厅《关于做好夏季防暑降温工作的通知》安监总厅安健函[2016]117号第二条：用人单位应当根据生产特点和具体条件，合理安排调整劳动者高温天气工作时间。</w:t>
            </w:r>
          </w:p>
          <w:p w:rsidR="00F82A19" w:rsidRDefault="00F82A19" w:rsidP="00F82A19">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1.日最高气温达到40℃以上，应当停止当日室外露天作业。</w:t>
            </w:r>
          </w:p>
          <w:p w:rsidR="00F82A19" w:rsidRDefault="00F82A19" w:rsidP="00F82A19">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2.日最高气温达到37℃以上、40℃以下时，用人单位全天安排劳动者室外露天作业时间累计不得超</w:t>
            </w:r>
            <w:r>
              <w:rPr>
                <w:rFonts w:ascii="仿宋_GB2312" w:eastAsia="仿宋_GB2312" w:hAnsi="仿宋_GB2312" w:cs="仿宋_GB2312" w:hint="eastAsia"/>
                <w:sz w:val="28"/>
                <w:szCs w:val="28"/>
              </w:rPr>
              <w:lastRenderedPageBreak/>
              <w:t>过6小时，连续作业时间不得超过国家规定，且在气温最高时段3小时内不得安排室外露天作业。</w:t>
            </w:r>
          </w:p>
          <w:p w:rsidR="00F82A19" w:rsidRDefault="00F82A19" w:rsidP="00F82A19">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3.日最高气温达到35℃以上、37℃以下时，用人单位应当采取换班轮休等方式，缩短劳动者连续作业时间，不得安排室外露天作业劳动者加班。</w:t>
            </w:r>
          </w:p>
          <w:p w:rsidR="00F82A19" w:rsidRDefault="00F82A19" w:rsidP="00F82A19">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b、</w:t>
            </w:r>
            <w:r>
              <w:rPr>
                <w:rFonts w:ascii="仿宋_GB2312" w:eastAsia="仿宋_GB2312" w:hAnsi="仿宋_GB2312" w:cs="仿宋_GB2312" w:hint="eastAsia"/>
                <w:bCs/>
                <w:sz w:val="28"/>
                <w:szCs w:val="28"/>
              </w:rPr>
              <w:t>云南普洱西南水泥</w:t>
            </w:r>
            <w:r>
              <w:rPr>
                <w:rFonts w:ascii="仿宋_GB2312" w:eastAsia="仿宋_GB2312" w:hAnsi="仿宋_GB2312" w:cs="仿宋_GB2312" w:hint="eastAsia"/>
                <w:sz w:val="28"/>
                <w:szCs w:val="28"/>
              </w:rPr>
              <w:t>应组织对高温作业人员进行防暑降温应急演练。劳动者出现中暑症状时，应当立即采取救治措施，病情严重者，应当及时送医疗卫生机构治疗。劳动者因高温作业或者高温天气作业引起中暑，经诊断为职业病的，要为劳动者申请享受工伤保险待遇。</w:t>
            </w:r>
          </w:p>
          <w:p w:rsidR="00C01515" w:rsidRPr="00F82A19" w:rsidRDefault="00C01515" w:rsidP="00F82A19">
            <w:pPr>
              <w:spacing w:line="460" w:lineRule="exact"/>
              <w:ind w:firstLineChars="200" w:firstLine="480"/>
              <w:rPr>
                <w:rFonts w:ascii="仿宋_GB2312" w:eastAsia="仿宋_GB2312" w:hint="eastAsia"/>
                <w:color w:val="000000"/>
                <w:sz w:val="24"/>
              </w:rPr>
            </w:pPr>
          </w:p>
        </w:tc>
      </w:tr>
    </w:tbl>
    <w:p w:rsidR="00C01515" w:rsidRDefault="00C01515">
      <w:pPr>
        <w:widowControl/>
        <w:spacing w:line="470" w:lineRule="atLeast"/>
        <w:jc w:val="center"/>
        <w:rPr>
          <w:rFonts w:hint="eastAsia"/>
          <w:sz w:val="24"/>
        </w:rPr>
      </w:pPr>
      <w:r>
        <w:rPr>
          <w:rFonts w:ascii="仿宋_GB2312" w:eastAsia="仿宋_GB2312" w:hint="eastAsia"/>
          <w:color w:val="000000"/>
          <w:sz w:val="28"/>
          <w:szCs w:val="28"/>
        </w:rPr>
        <w:lastRenderedPageBreak/>
        <w:t xml:space="preserve">编制人：                 审核人：    </w:t>
      </w:r>
      <w:r>
        <w:rPr>
          <w:sz w:val="24"/>
        </w:rPr>
        <w:t xml:space="preserve">  </w:t>
      </w:r>
      <w:r>
        <w:rPr>
          <w:rFonts w:hint="eastAsia"/>
          <w:sz w:val="24"/>
        </w:rPr>
        <w:t xml:space="preserve">          </w:t>
      </w:r>
      <w:r>
        <w:rPr>
          <w:rFonts w:hint="eastAsia"/>
          <w:sz w:val="24"/>
        </w:rPr>
        <w:t>批准人：</w:t>
      </w:r>
      <w:r>
        <w:rPr>
          <w:rFonts w:hint="eastAsia"/>
          <w:sz w:val="24"/>
        </w:rPr>
        <w:t xml:space="preserve"> </w:t>
      </w:r>
    </w:p>
    <w:p w:rsidR="00C01515" w:rsidRDefault="00C01515">
      <w:pPr>
        <w:widowControl/>
        <w:shd w:val="clear" w:color="auto" w:fill="EEEEEE"/>
        <w:spacing w:line="315" w:lineRule="atLeast"/>
        <w:ind w:firstLineChars="200" w:firstLine="480"/>
        <w:rPr>
          <w:rFonts w:hint="eastAsia"/>
          <w:sz w:val="24"/>
        </w:rPr>
      </w:pPr>
      <w:r>
        <w:rPr>
          <w:rFonts w:hint="eastAsia"/>
          <w:sz w:val="24"/>
        </w:rPr>
        <w:t>日</w:t>
      </w:r>
      <w:r>
        <w:rPr>
          <w:rFonts w:hint="eastAsia"/>
          <w:sz w:val="24"/>
        </w:rPr>
        <w:t xml:space="preserve">  </w:t>
      </w:r>
      <w:r>
        <w:rPr>
          <w:rFonts w:hint="eastAsia"/>
          <w:sz w:val="24"/>
        </w:rPr>
        <w:t>期：</w:t>
      </w:r>
      <w:r>
        <w:rPr>
          <w:sz w:val="24"/>
        </w:rPr>
        <w:t xml:space="preserve">         </w:t>
      </w:r>
      <w:r>
        <w:rPr>
          <w:rFonts w:hint="eastAsia"/>
          <w:sz w:val="24"/>
        </w:rPr>
        <w:t xml:space="preserve">             </w:t>
      </w:r>
      <w:r>
        <w:rPr>
          <w:rFonts w:hint="eastAsia"/>
          <w:sz w:val="24"/>
        </w:rPr>
        <w:t>日</w:t>
      </w:r>
      <w:r>
        <w:rPr>
          <w:rFonts w:hint="eastAsia"/>
          <w:sz w:val="24"/>
        </w:rPr>
        <w:t xml:space="preserve">  </w:t>
      </w:r>
      <w:r>
        <w:rPr>
          <w:rFonts w:hint="eastAsia"/>
          <w:sz w:val="24"/>
        </w:rPr>
        <w:t>期：</w:t>
      </w:r>
      <w:r>
        <w:rPr>
          <w:sz w:val="24"/>
        </w:rPr>
        <w:t xml:space="preserve">         </w:t>
      </w:r>
      <w:r>
        <w:rPr>
          <w:rFonts w:hint="eastAsia"/>
          <w:sz w:val="24"/>
        </w:rPr>
        <w:t xml:space="preserve">       </w:t>
      </w:r>
      <w:r>
        <w:rPr>
          <w:rFonts w:hint="eastAsia"/>
          <w:sz w:val="24"/>
        </w:rPr>
        <w:t>日</w:t>
      </w:r>
      <w:r>
        <w:rPr>
          <w:rFonts w:hint="eastAsia"/>
          <w:sz w:val="24"/>
        </w:rPr>
        <w:t xml:space="preserve">  </w:t>
      </w:r>
      <w:r>
        <w:rPr>
          <w:rFonts w:hint="eastAsia"/>
          <w:sz w:val="24"/>
        </w:rPr>
        <w:t>期：</w:t>
      </w:r>
      <w:r>
        <w:rPr>
          <w:sz w:val="24"/>
        </w:rPr>
        <w:t xml:space="preserve">  </w:t>
      </w:r>
    </w:p>
    <w:sectPr w:rsidR="00C01515">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113" w:rsidRDefault="00081113">
      <w:r>
        <w:separator/>
      </w:r>
    </w:p>
  </w:endnote>
  <w:endnote w:type="continuationSeparator" w:id="0">
    <w:p w:rsidR="00081113" w:rsidRDefault="0008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ì.">
    <w:altName w:val="宋体"/>
    <w:charset w:val="86"/>
    <w:family w:val="swiss"/>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15" w:rsidRDefault="00F82A19">
    <w:pPr>
      <w:pStyle w:val="a8"/>
    </w:pPr>
    <w:r>
      <w:rPr>
        <w:rFonts w:ascii="黑体" w:eastAsia="黑体" w:hAnsi="黑体"/>
        <w:b/>
        <w:noProof/>
        <w:sz w:val="21"/>
        <w:szCs w:val="21"/>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-21590</wp:posOffset>
              </wp:positionV>
              <wp:extent cx="5257800" cy="0"/>
              <wp:effectExtent l="9525" t="16510" r="9525" b="12065"/>
              <wp:wrapNone/>
              <wp:docPr id="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pt" to="414.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" strokeweight="1.5pt"/>
          </w:pict>
        </mc:Fallback>
      </mc:AlternateContent>
    </w:r>
    <w:r w:rsidR="00C01515">
      <w:rPr>
        <w:rFonts w:ascii="黑体" w:eastAsia="黑体" w:hAnsi="黑体"/>
        <w:b/>
        <w:sz w:val="21"/>
        <w:szCs w:val="21"/>
      </w:rPr>
      <w:t>颁布日期：201</w:t>
    </w:r>
    <w:r w:rsidR="00C01515">
      <w:rPr>
        <w:rFonts w:ascii="黑体" w:eastAsia="黑体" w:hAnsi="黑体" w:hint="eastAsia"/>
        <w:b/>
        <w:sz w:val="21"/>
        <w:szCs w:val="21"/>
      </w:rPr>
      <w:t>9</w:t>
    </w:r>
    <w:r w:rsidR="00C01515">
      <w:rPr>
        <w:rFonts w:ascii="黑体" w:eastAsia="黑体" w:hAnsi="黑体"/>
        <w:b/>
        <w:sz w:val="21"/>
        <w:szCs w:val="21"/>
      </w:rPr>
      <w:t>年0</w:t>
    </w:r>
    <w:r w:rsidR="00C01515">
      <w:rPr>
        <w:rFonts w:ascii="黑体" w:eastAsia="黑体" w:hAnsi="黑体" w:hint="eastAsia"/>
        <w:b/>
        <w:sz w:val="21"/>
        <w:szCs w:val="21"/>
      </w:rPr>
      <w:t>1</w:t>
    </w:r>
    <w:r w:rsidR="00C01515">
      <w:rPr>
        <w:rFonts w:ascii="黑体" w:eastAsia="黑体" w:hAnsi="黑体"/>
        <w:b/>
        <w:sz w:val="21"/>
        <w:szCs w:val="21"/>
      </w:rPr>
      <w:t xml:space="preserve">月01日    </w:t>
    </w:r>
    <w:r w:rsidR="00C01515">
      <w:rPr>
        <w:rFonts w:ascii="黑体" w:eastAsia="黑体" w:hAnsi="黑体" w:hint="eastAsia"/>
        <w:b/>
        <w:sz w:val="21"/>
        <w:szCs w:val="21"/>
      </w:rPr>
      <w:t xml:space="preserve"> </w:t>
    </w:r>
    <w:r w:rsidR="00C01515">
      <w:rPr>
        <w:rFonts w:ascii="黑体" w:eastAsia="黑体" w:hAnsi="黑体"/>
        <w:b/>
        <w:sz w:val="21"/>
        <w:szCs w:val="21"/>
      </w:rPr>
      <w:t xml:space="preserve">                    实施日期：201</w:t>
    </w:r>
    <w:r w:rsidR="00C01515">
      <w:rPr>
        <w:rFonts w:ascii="黑体" w:eastAsia="黑体" w:hAnsi="黑体" w:hint="eastAsia"/>
        <w:b/>
        <w:sz w:val="21"/>
        <w:szCs w:val="21"/>
      </w:rPr>
      <w:t>9</w:t>
    </w:r>
    <w:r w:rsidR="00C01515">
      <w:rPr>
        <w:rFonts w:ascii="黑体" w:eastAsia="黑体" w:hAnsi="黑体"/>
        <w:b/>
        <w:sz w:val="21"/>
        <w:szCs w:val="21"/>
      </w:rPr>
      <w:t>年0</w:t>
    </w:r>
    <w:r w:rsidR="00C01515">
      <w:rPr>
        <w:rFonts w:ascii="黑体" w:eastAsia="黑体" w:hAnsi="黑体" w:hint="eastAsia"/>
        <w:b/>
        <w:sz w:val="21"/>
        <w:szCs w:val="21"/>
      </w:rPr>
      <w:t>1</w:t>
    </w:r>
    <w:r w:rsidR="00C01515">
      <w:rPr>
        <w:rFonts w:ascii="黑体" w:eastAsia="黑体" w:hAnsi="黑体"/>
        <w:b/>
        <w:sz w:val="21"/>
        <w:szCs w:val="21"/>
      </w:rPr>
      <w:t>月</w:t>
    </w:r>
    <w:r w:rsidR="00C01515">
      <w:rPr>
        <w:rFonts w:ascii="黑体" w:eastAsia="黑体" w:hAnsi="黑体" w:hint="eastAsia"/>
        <w:b/>
        <w:sz w:val="21"/>
        <w:szCs w:val="21"/>
      </w:rPr>
      <w:t>20</w:t>
    </w:r>
    <w:r w:rsidR="00C01515">
      <w:rPr>
        <w:rFonts w:ascii="黑体" w:eastAsia="黑体" w:hAnsi="黑体"/>
        <w:b/>
        <w:sz w:val="21"/>
        <w:szCs w:val="21"/>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113" w:rsidRDefault="00081113">
      <w:r>
        <w:separator/>
      </w:r>
    </w:p>
  </w:footnote>
  <w:footnote w:type="continuationSeparator" w:id="0">
    <w:p w:rsidR="00081113" w:rsidRDefault="00081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515" w:rsidRDefault="00C01515">
    <w:pPr>
      <w:pStyle w:val="a9"/>
      <w:pBdr>
        <w:bottom w:val="single" w:sz="12" w:space="0" w:color="auto"/>
      </w:pBdr>
      <w:jc w:val="left"/>
      <w:rPr>
        <w:rFonts w:ascii="黑体" w:eastAsia="黑体" w:hAnsi="黑体" w:hint="eastAsia"/>
        <w:b/>
        <w:bCs/>
        <w:sz w:val="21"/>
        <w:szCs w:val="21"/>
      </w:rPr>
    </w:pPr>
    <w:r>
      <w:rPr>
        <w:rFonts w:ascii="黑体" w:eastAsia="黑体" w:hAnsi="黑体" w:hint="eastAsia"/>
        <w:b/>
        <w:bCs/>
        <w:sz w:val="21"/>
        <w:szCs w:val="21"/>
      </w:rPr>
      <w:t>云南君强企业管理有限公司</w:t>
    </w:r>
    <w:r>
      <w:rPr>
        <w:rFonts w:ascii="黑体" w:eastAsia="黑体" w:hAnsi="黑体"/>
        <w:b/>
        <w:bCs/>
        <w:sz w:val="21"/>
        <w:szCs w:val="21"/>
      </w:rPr>
      <w:t xml:space="preserve">     　　　　      </w:t>
    </w:r>
    <w:r>
      <w:rPr>
        <w:rFonts w:ascii="黑体" w:eastAsia="黑体" w:hAnsi="黑体" w:hint="eastAsia"/>
        <w:b/>
        <w:bCs/>
        <w:sz w:val="21"/>
        <w:szCs w:val="21"/>
      </w:rPr>
      <w:t xml:space="preserve">           YNJQ/GLJL-ZG-2019-QT049</w:t>
    </w:r>
  </w:p>
  <w:p w:rsidR="00C01515" w:rsidRDefault="00C01515">
    <w:pPr>
      <w:pStyle w:val="a9"/>
      <w:pBdr>
        <w:bottom w:val="single" w:sz="12" w:space="0" w:color="auto"/>
      </w:pBdr>
      <w:jc w:val="left"/>
      <w:rPr>
        <w:rFonts w:ascii="黑体" w:eastAsia="黑体" w:hAnsi="黑体" w:hint="eastAsia"/>
        <w:b/>
        <w:bCs/>
        <w:sz w:val="21"/>
        <w:szCs w:val="21"/>
      </w:rPr>
    </w:pPr>
    <w:r>
      <w:rPr>
        <w:rFonts w:ascii="黑体" w:eastAsia="黑体" w:hAnsi="黑体" w:hint="eastAsia"/>
        <w:b/>
        <w:sz w:val="21"/>
        <w:szCs w:val="21"/>
      </w:rPr>
      <w:t>标题：报告信息公开简报表</w:t>
    </w:r>
    <w:r>
      <w:rPr>
        <w:rFonts w:ascii="黑体" w:eastAsia="黑体" w:hAnsi="黑体"/>
        <w:b/>
        <w:sz w:val="21"/>
        <w:szCs w:val="21"/>
      </w:rPr>
      <w:t xml:space="preserve">  </w:t>
    </w:r>
    <w:r>
      <w:rPr>
        <w:rFonts w:ascii="黑体" w:eastAsia="黑体" w:hAnsi="黑体" w:hint="eastAsia"/>
        <w:b/>
        <w:sz w:val="21"/>
        <w:szCs w:val="21"/>
      </w:rPr>
      <w:t xml:space="preserve">                             </w:t>
    </w:r>
    <w:r>
      <w:rPr>
        <w:rFonts w:ascii="黑体" w:eastAsia="黑体" w:hAnsi="黑体"/>
        <w:b/>
        <w:sz w:val="21"/>
        <w:szCs w:val="21"/>
      </w:rPr>
      <w:t>第0次修订</w:t>
    </w:r>
    <w:r>
      <w:rPr>
        <w:rFonts w:ascii="黑体" w:eastAsia="黑体" w:hAnsi="黑体" w:hint="eastAsia"/>
        <w:b/>
        <w:sz w:val="21"/>
        <w:szCs w:val="21"/>
      </w:rPr>
      <w:t xml:space="preserve">      </w:t>
    </w:r>
    <w:r>
      <w:rPr>
        <w:rFonts w:ascii="黑体" w:eastAsia="黑体" w:hAnsi="黑体"/>
        <w:b/>
        <w:sz w:val="21"/>
        <w:szCs w:val="21"/>
      </w:rPr>
      <w:t>第</w:t>
    </w:r>
    <w:r>
      <w:rPr>
        <w:rFonts w:ascii="黑体" w:eastAsia="黑体" w:hAnsi="黑体" w:hint="eastAsia"/>
        <w:b/>
        <w:sz w:val="21"/>
        <w:szCs w:val="21"/>
      </w:rPr>
      <w:t>4</w:t>
    </w:r>
    <w:r>
      <w:rPr>
        <w:rFonts w:ascii="黑体" w:eastAsia="黑体" w:hAnsi="黑体"/>
        <w:b/>
        <w:sz w:val="21"/>
        <w:szCs w:val="21"/>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DF5E39"/>
    <w:multiLevelType w:val="singleLevel"/>
    <w:tmpl w:val="C1DF5E39"/>
    <w:lvl w:ilvl="0">
      <w:start w:val="1"/>
      <w:numFmt w:val="lowerLetter"/>
      <w:suff w:val="nothing"/>
      <w:lvlText w:val="%1、"/>
      <w:lvlJc w:val="left"/>
    </w:lvl>
  </w:abstractNum>
  <w:abstractNum w:abstractNumId="1">
    <w:nsid w:val="F7866D70"/>
    <w:multiLevelType w:val="singleLevel"/>
    <w:tmpl w:val="F7866D70"/>
    <w:lvl w:ilvl="0">
      <w:start w:val="1"/>
      <w:numFmt w:val="decimal"/>
      <w:suff w:val="nothing"/>
      <w:lvlText w:val="（%1）"/>
      <w:lvlJc w:val="left"/>
    </w:lvl>
  </w:abstractNum>
  <w:abstractNum w:abstractNumId="2">
    <w:nsid w:val="56754FB0"/>
    <w:multiLevelType w:val="singleLevel"/>
    <w:tmpl w:val="56754FB0"/>
    <w:lvl w:ilvl="0">
      <w:start w:val="1"/>
      <w:numFmt w:val="decimal"/>
      <w:suff w:val="nothing"/>
      <w:lvlText w:val="（%1）"/>
      <w:lvlJc w:val="left"/>
    </w:lvl>
  </w:abstractNum>
  <w:abstractNum w:abstractNumId="3">
    <w:nsid w:val="56989DB0"/>
    <w:multiLevelType w:val="singleLevel"/>
    <w:tmpl w:val="56989DB0"/>
    <w:lvl w:ilvl="0">
      <w:start w:val="4"/>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A5E"/>
    <w:rsid w:val="000306A9"/>
    <w:rsid w:val="0003630A"/>
    <w:rsid w:val="00052265"/>
    <w:rsid w:val="00055A83"/>
    <w:rsid w:val="00081113"/>
    <w:rsid w:val="00090D64"/>
    <w:rsid w:val="0015661D"/>
    <w:rsid w:val="00181693"/>
    <w:rsid w:val="001B6D4C"/>
    <w:rsid w:val="001E3384"/>
    <w:rsid w:val="00222A2E"/>
    <w:rsid w:val="0026019B"/>
    <w:rsid w:val="00261D41"/>
    <w:rsid w:val="00267D59"/>
    <w:rsid w:val="00275BBA"/>
    <w:rsid w:val="00285A26"/>
    <w:rsid w:val="002A1A1B"/>
    <w:rsid w:val="003347A1"/>
    <w:rsid w:val="00344806"/>
    <w:rsid w:val="00384968"/>
    <w:rsid w:val="003E7377"/>
    <w:rsid w:val="00423ECB"/>
    <w:rsid w:val="00457BD2"/>
    <w:rsid w:val="004678AE"/>
    <w:rsid w:val="004C4B26"/>
    <w:rsid w:val="00521F17"/>
    <w:rsid w:val="00550D81"/>
    <w:rsid w:val="0056415A"/>
    <w:rsid w:val="005A460E"/>
    <w:rsid w:val="005A5297"/>
    <w:rsid w:val="005C2ED3"/>
    <w:rsid w:val="005C6D48"/>
    <w:rsid w:val="005D66F0"/>
    <w:rsid w:val="00662697"/>
    <w:rsid w:val="006875FE"/>
    <w:rsid w:val="007176F4"/>
    <w:rsid w:val="00720A6E"/>
    <w:rsid w:val="00751E47"/>
    <w:rsid w:val="007B56F2"/>
    <w:rsid w:val="007B60DB"/>
    <w:rsid w:val="007E1110"/>
    <w:rsid w:val="007F384F"/>
    <w:rsid w:val="00881B4B"/>
    <w:rsid w:val="008B493A"/>
    <w:rsid w:val="008D1104"/>
    <w:rsid w:val="00911C13"/>
    <w:rsid w:val="00A414C2"/>
    <w:rsid w:val="00A42303"/>
    <w:rsid w:val="00A46212"/>
    <w:rsid w:val="00AD7928"/>
    <w:rsid w:val="00B34E90"/>
    <w:rsid w:val="00B620C8"/>
    <w:rsid w:val="00BB60E9"/>
    <w:rsid w:val="00BC1A5E"/>
    <w:rsid w:val="00C01515"/>
    <w:rsid w:val="00C3422E"/>
    <w:rsid w:val="00CD02AB"/>
    <w:rsid w:val="00DA3C16"/>
    <w:rsid w:val="00DB08E7"/>
    <w:rsid w:val="00DB15AC"/>
    <w:rsid w:val="00DB7DDD"/>
    <w:rsid w:val="00E135CA"/>
    <w:rsid w:val="00E32955"/>
    <w:rsid w:val="00E47A06"/>
    <w:rsid w:val="00E6753A"/>
    <w:rsid w:val="00E77B99"/>
    <w:rsid w:val="00E82BC3"/>
    <w:rsid w:val="00EA03E2"/>
    <w:rsid w:val="00ED5CB5"/>
    <w:rsid w:val="00F82A19"/>
    <w:rsid w:val="00F941C7"/>
    <w:rsid w:val="00FA650E"/>
    <w:rsid w:val="02BE34C1"/>
    <w:rsid w:val="0822349B"/>
    <w:rsid w:val="0F597E60"/>
    <w:rsid w:val="10B37BD6"/>
    <w:rsid w:val="1B623B85"/>
    <w:rsid w:val="22675BBF"/>
    <w:rsid w:val="235940E0"/>
    <w:rsid w:val="25295642"/>
    <w:rsid w:val="2CA32BBC"/>
    <w:rsid w:val="2DDD74F3"/>
    <w:rsid w:val="300B19A9"/>
    <w:rsid w:val="335F55C2"/>
    <w:rsid w:val="3B3B3A8A"/>
    <w:rsid w:val="3C0B00D1"/>
    <w:rsid w:val="474F226C"/>
    <w:rsid w:val="4ACC289A"/>
    <w:rsid w:val="501D7E27"/>
    <w:rsid w:val="532E1C10"/>
    <w:rsid w:val="537558DE"/>
    <w:rsid w:val="53E140CD"/>
    <w:rsid w:val="5409405D"/>
    <w:rsid w:val="56E67553"/>
    <w:rsid w:val="5BF56B66"/>
    <w:rsid w:val="5C6342A8"/>
    <w:rsid w:val="5CBF181C"/>
    <w:rsid w:val="6440568E"/>
    <w:rsid w:val="7046728C"/>
    <w:rsid w:val="72B21CDC"/>
    <w:rsid w:val="72D817E1"/>
    <w:rsid w:val="784517BB"/>
    <w:rsid w:val="7C680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toc 3" w:uiPriority="39" w:unhideWhenUsed="1" w:qFormat="1"/>
    <w:lsdException w:name="Normal Indent" w:uiPriority="99" w:unhideWhenUsed="1" w:qFormat="1"/>
    <w:lsdException w:name="annotation text"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pPr>
      <w:keepNext/>
      <w:keepLines/>
      <w:spacing w:line="490" w:lineRule="exact"/>
      <w:outlineLvl w:val="1"/>
    </w:pPr>
    <w:rPr>
      <w:rFonts w:ascii="Arial" w:eastAsia="仿宋_GB2312" w:hAnsi="Arial"/>
      <w:b/>
      <w:sz w:val="28"/>
    </w:rPr>
  </w:style>
  <w:style w:type="paragraph" w:styleId="3">
    <w:name w:val="heading 3"/>
    <w:basedOn w:val="30"/>
    <w:next w:val="a"/>
    <w:qFormat/>
    <w:pPr>
      <w:keepNext/>
      <w:keepLines/>
      <w:spacing w:line="490" w:lineRule="exact"/>
      <w:ind w:left="0"/>
      <w:outlineLvl w:val="2"/>
    </w:pPr>
    <w:rPr>
      <w:rFonts w:ascii="Calibri" w:hAnsi="Calibri" w:hint="eastAsia"/>
      <w:kern w:val="1"/>
      <w:sz w:val="18"/>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adjustRightInd w:val="0"/>
    </w:pPr>
    <w:rPr>
      <w:rFonts w:ascii="..ì." w:eastAsia="..ì." w:hAnsi="..ì." w:hint="eastAsia"/>
      <w:color w:val="000000"/>
      <w:sz w:val="24"/>
      <w:szCs w:val="22"/>
    </w:rPr>
  </w:style>
  <w:style w:type="paragraph" w:styleId="30">
    <w:name w:val="toc 3"/>
    <w:basedOn w:val="a"/>
    <w:next w:val="a"/>
    <w:uiPriority w:val="39"/>
    <w:unhideWhenUsed/>
    <w:qFormat/>
    <w:pPr>
      <w:ind w:leftChars="400" w:left="840"/>
    </w:pPr>
  </w:style>
  <w:style w:type="paragraph" w:styleId="a3">
    <w:name w:val="Normal Indent"/>
    <w:basedOn w:val="a"/>
    <w:uiPriority w:val="99"/>
    <w:unhideWhenUsed/>
    <w:qFormat/>
    <w:pPr>
      <w:spacing w:line="400" w:lineRule="exact"/>
      <w:ind w:firstLine="420"/>
    </w:pPr>
    <w:rPr>
      <w:rFonts w:ascii="楷体_GB2312" w:eastAsia="楷体_GB2312"/>
      <w:spacing w:val="20"/>
      <w:sz w:val="28"/>
      <w:szCs w:val="20"/>
    </w:rPr>
  </w:style>
  <w:style w:type="paragraph" w:styleId="a4">
    <w:name w:val="Document Map"/>
    <w:basedOn w:val="a"/>
    <w:semiHidden/>
    <w:pPr>
      <w:shd w:val="clear" w:color="auto" w:fill="000080"/>
    </w:pPr>
  </w:style>
  <w:style w:type="paragraph" w:styleId="a5">
    <w:name w:val="annotation text"/>
    <w:basedOn w:val="a"/>
    <w:uiPriority w:val="99"/>
    <w:qFormat/>
    <w:pPr>
      <w:jc w:val="left"/>
    </w:pPr>
    <w:rPr>
      <w:sz w:val="28"/>
    </w:rPr>
  </w:style>
  <w:style w:type="paragraph" w:styleId="a6">
    <w:name w:val="Plain Text"/>
    <w:basedOn w:val="a"/>
    <w:pPr>
      <w:widowControl/>
      <w:spacing w:before="100" w:beforeAutospacing="1" w:after="100" w:afterAutospacing="1"/>
      <w:jc w:val="left"/>
    </w:pPr>
    <w:rPr>
      <w:rFonts w:ascii="宋体" w:hAnsi="宋体" w:cs="宋体"/>
      <w:kern w:val="0"/>
      <w:sz w:val="24"/>
    </w:rPr>
  </w:style>
  <w:style w:type="paragraph" w:styleId="20">
    <w:name w:val="Body Text Indent 2"/>
    <w:basedOn w:val="a"/>
    <w:pPr>
      <w:widowControl/>
      <w:spacing w:before="100" w:beforeAutospacing="1" w:after="100" w:afterAutospacing="1"/>
      <w:jc w:val="left"/>
    </w:pPr>
    <w:rPr>
      <w:rFonts w:ascii="宋体" w:hAnsi="宋体" w:cs="宋体"/>
      <w:kern w:val="0"/>
      <w:sz w:val="24"/>
    </w:rPr>
  </w:style>
  <w:style w:type="paragraph" w:styleId="a7">
    <w:name w:val="Balloon Text"/>
    <w:basedOn w:val="a"/>
    <w:link w:val="Char"/>
    <w:rPr>
      <w:sz w:val="18"/>
      <w:szCs w:val="18"/>
    </w:rPr>
  </w:style>
  <w:style w:type="character" w:customStyle="1" w:styleId="Char">
    <w:name w:val="批注框文本 Char"/>
    <w:link w:val="a7"/>
    <w:rPr>
      <w:kern w:val="2"/>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aa">
    <w:name w:val="Normal (Web)"/>
    <w:basedOn w:val="a"/>
    <w:unhideWhenUsed/>
    <w:qFormat/>
    <w:pPr>
      <w:widowControl/>
      <w:spacing w:before="100" w:beforeAutospacing="1" w:after="100" w:afterAutospacing="1"/>
      <w:jc w:val="left"/>
    </w:pPr>
    <w:rPr>
      <w:rFonts w:ascii="宋体" w:hAnsi="宋体" w:cs="宋体"/>
      <w:color w:val="000000"/>
      <w:kern w:val="0"/>
      <w:sz w:val="24"/>
    </w:rPr>
  </w:style>
  <w:style w:type="table" w:styleId="ab">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style>
  <w:style w:type="paragraph" w:customStyle="1" w:styleId="11">
    <w:name w:val="样式1"/>
    <w:basedOn w:val="10"/>
    <w:qFormat/>
    <w:pPr>
      <w:spacing w:line="400" w:lineRule="exact"/>
      <w:jc w:val="left"/>
    </w:pPr>
    <w:rPr>
      <w:rFonts w:ascii="宋体" w:hAnsi="宋体"/>
      <w:bCs/>
      <w:spacing w:val="20"/>
      <w:kern w:val="0"/>
      <w:sz w:val="24"/>
    </w:rPr>
  </w:style>
  <w:style w:type="paragraph" w:customStyle="1" w:styleId="p0">
    <w:name w:val="p0"/>
    <w:basedOn w:val="a"/>
    <w:qFormat/>
    <w:pPr>
      <w:widowControl/>
    </w:pPr>
    <w:rPr>
      <w:rFonts w:ascii="Calibri" w:hAnsi="Calibri"/>
      <w:kern w:val="0"/>
      <w:szCs w:val="21"/>
    </w:rPr>
  </w:style>
  <w:style w:type="paragraph" w:customStyle="1" w:styleId="12">
    <w:name w:val="1"/>
    <w:basedOn w:val="a"/>
    <w:pPr>
      <w:widowControl/>
      <w:spacing w:before="100" w:beforeAutospacing="1" w:after="100" w:afterAutospacing="1"/>
      <w:jc w:val="left"/>
    </w:pPr>
    <w:rPr>
      <w:rFonts w:ascii="宋体" w:hAnsi="宋体" w:cs="宋体"/>
      <w:kern w:val="0"/>
      <w:sz w:val="24"/>
    </w:rPr>
  </w:style>
  <w:style w:type="character" w:customStyle="1" w:styleId="fontstyle01">
    <w:name w:val="fontstyle01"/>
    <w:qFormat/>
    <w:rPr>
      <w:rFonts w:ascii="仿宋_GB2312" w:eastAsia="仿宋_GB2312" w:hint="eastAsia"/>
      <w:color w:val="000000"/>
      <w:sz w:val="28"/>
      <w:szCs w:val="28"/>
    </w:rPr>
  </w:style>
  <w:style w:type="paragraph" w:styleId="ac">
    <w:name w:val="List Paragraph"/>
    <w:basedOn w:val="a"/>
    <w:uiPriority w:val="99"/>
    <w:unhideWhenUsed/>
    <w:rsid w:val="00F82A19"/>
    <w:pPr>
      <w:ind w:firstLineChars="200" w:firstLine="420"/>
    </w:pPr>
    <w:rPr>
      <w:rFonts w:ascii="Calibri" w:hAnsi="Calibri" w:cs="黑体"/>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lsdException w:name="toc 3" w:uiPriority="39" w:unhideWhenUsed="1" w:qFormat="1"/>
    <w:lsdException w:name="Normal Indent" w:uiPriority="99" w:unhideWhenUsed="1" w:qFormat="1"/>
    <w:lsdException w:name="annotation text"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pPr>
      <w:keepNext/>
      <w:keepLines/>
      <w:spacing w:line="490" w:lineRule="exact"/>
      <w:outlineLvl w:val="1"/>
    </w:pPr>
    <w:rPr>
      <w:rFonts w:ascii="Arial" w:eastAsia="仿宋_GB2312" w:hAnsi="Arial"/>
      <w:b/>
      <w:sz w:val="28"/>
    </w:rPr>
  </w:style>
  <w:style w:type="paragraph" w:styleId="3">
    <w:name w:val="heading 3"/>
    <w:basedOn w:val="30"/>
    <w:next w:val="a"/>
    <w:qFormat/>
    <w:pPr>
      <w:keepNext/>
      <w:keepLines/>
      <w:spacing w:line="490" w:lineRule="exact"/>
      <w:ind w:left="0"/>
      <w:outlineLvl w:val="2"/>
    </w:pPr>
    <w:rPr>
      <w:rFonts w:ascii="Calibri" w:hAnsi="Calibri" w:hint="eastAsia"/>
      <w:kern w:val="1"/>
      <w:sz w:val="18"/>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adjustRightInd w:val="0"/>
    </w:pPr>
    <w:rPr>
      <w:rFonts w:ascii="..ì." w:eastAsia="..ì." w:hAnsi="..ì." w:hint="eastAsia"/>
      <w:color w:val="000000"/>
      <w:sz w:val="24"/>
      <w:szCs w:val="22"/>
    </w:rPr>
  </w:style>
  <w:style w:type="paragraph" w:styleId="30">
    <w:name w:val="toc 3"/>
    <w:basedOn w:val="a"/>
    <w:next w:val="a"/>
    <w:uiPriority w:val="39"/>
    <w:unhideWhenUsed/>
    <w:qFormat/>
    <w:pPr>
      <w:ind w:leftChars="400" w:left="840"/>
    </w:pPr>
  </w:style>
  <w:style w:type="paragraph" w:styleId="a3">
    <w:name w:val="Normal Indent"/>
    <w:basedOn w:val="a"/>
    <w:uiPriority w:val="99"/>
    <w:unhideWhenUsed/>
    <w:qFormat/>
    <w:pPr>
      <w:spacing w:line="400" w:lineRule="exact"/>
      <w:ind w:firstLine="420"/>
    </w:pPr>
    <w:rPr>
      <w:rFonts w:ascii="楷体_GB2312" w:eastAsia="楷体_GB2312"/>
      <w:spacing w:val="20"/>
      <w:sz w:val="28"/>
      <w:szCs w:val="20"/>
    </w:rPr>
  </w:style>
  <w:style w:type="paragraph" w:styleId="a4">
    <w:name w:val="Document Map"/>
    <w:basedOn w:val="a"/>
    <w:semiHidden/>
    <w:pPr>
      <w:shd w:val="clear" w:color="auto" w:fill="000080"/>
    </w:pPr>
  </w:style>
  <w:style w:type="paragraph" w:styleId="a5">
    <w:name w:val="annotation text"/>
    <w:basedOn w:val="a"/>
    <w:uiPriority w:val="99"/>
    <w:qFormat/>
    <w:pPr>
      <w:jc w:val="left"/>
    </w:pPr>
    <w:rPr>
      <w:sz w:val="28"/>
    </w:rPr>
  </w:style>
  <w:style w:type="paragraph" w:styleId="a6">
    <w:name w:val="Plain Text"/>
    <w:basedOn w:val="a"/>
    <w:pPr>
      <w:widowControl/>
      <w:spacing w:before="100" w:beforeAutospacing="1" w:after="100" w:afterAutospacing="1"/>
      <w:jc w:val="left"/>
    </w:pPr>
    <w:rPr>
      <w:rFonts w:ascii="宋体" w:hAnsi="宋体" w:cs="宋体"/>
      <w:kern w:val="0"/>
      <w:sz w:val="24"/>
    </w:rPr>
  </w:style>
  <w:style w:type="paragraph" w:styleId="20">
    <w:name w:val="Body Text Indent 2"/>
    <w:basedOn w:val="a"/>
    <w:pPr>
      <w:widowControl/>
      <w:spacing w:before="100" w:beforeAutospacing="1" w:after="100" w:afterAutospacing="1"/>
      <w:jc w:val="left"/>
    </w:pPr>
    <w:rPr>
      <w:rFonts w:ascii="宋体" w:hAnsi="宋体" w:cs="宋体"/>
      <w:kern w:val="0"/>
      <w:sz w:val="24"/>
    </w:rPr>
  </w:style>
  <w:style w:type="paragraph" w:styleId="a7">
    <w:name w:val="Balloon Text"/>
    <w:basedOn w:val="a"/>
    <w:link w:val="Char"/>
    <w:rPr>
      <w:sz w:val="18"/>
      <w:szCs w:val="18"/>
    </w:rPr>
  </w:style>
  <w:style w:type="character" w:customStyle="1" w:styleId="Char">
    <w:name w:val="批注框文本 Char"/>
    <w:link w:val="a7"/>
    <w:rPr>
      <w:kern w:val="2"/>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aa">
    <w:name w:val="Normal (Web)"/>
    <w:basedOn w:val="a"/>
    <w:unhideWhenUsed/>
    <w:qFormat/>
    <w:pPr>
      <w:widowControl/>
      <w:spacing w:before="100" w:beforeAutospacing="1" w:after="100" w:afterAutospacing="1"/>
      <w:jc w:val="left"/>
    </w:pPr>
    <w:rPr>
      <w:rFonts w:ascii="宋体" w:hAnsi="宋体" w:cs="宋体"/>
      <w:color w:val="000000"/>
      <w:kern w:val="0"/>
      <w:sz w:val="24"/>
    </w:rPr>
  </w:style>
  <w:style w:type="table" w:styleId="ab">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style>
  <w:style w:type="paragraph" w:customStyle="1" w:styleId="11">
    <w:name w:val="样式1"/>
    <w:basedOn w:val="10"/>
    <w:qFormat/>
    <w:pPr>
      <w:spacing w:line="400" w:lineRule="exact"/>
      <w:jc w:val="left"/>
    </w:pPr>
    <w:rPr>
      <w:rFonts w:ascii="宋体" w:hAnsi="宋体"/>
      <w:bCs/>
      <w:spacing w:val="20"/>
      <w:kern w:val="0"/>
      <w:sz w:val="24"/>
    </w:rPr>
  </w:style>
  <w:style w:type="paragraph" w:customStyle="1" w:styleId="p0">
    <w:name w:val="p0"/>
    <w:basedOn w:val="a"/>
    <w:qFormat/>
    <w:pPr>
      <w:widowControl/>
    </w:pPr>
    <w:rPr>
      <w:rFonts w:ascii="Calibri" w:hAnsi="Calibri"/>
      <w:kern w:val="0"/>
      <w:szCs w:val="21"/>
    </w:rPr>
  </w:style>
  <w:style w:type="paragraph" w:customStyle="1" w:styleId="12">
    <w:name w:val="1"/>
    <w:basedOn w:val="a"/>
    <w:pPr>
      <w:widowControl/>
      <w:spacing w:before="100" w:beforeAutospacing="1" w:after="100" w:afterAutospacing="1"/>
      <w:jc w:val="left"/>
    </w:pPr>
    <w:rPr>
      <w:rFonts w:ascii="宋体" w:hAnsi="宋体" w:cs="宋体"/>
      <w:kern w:val="0"/>
      <w:sz w:val="24"/>
    </w:rPr>
  </w:style>
  <w:style w:type="character" w:customStyle="1" w:styleId="fontstyle01">
    <w:name w:val="fontstyle01"/>
    <w:qFormat/>
    <w:rPr>
      <w:rFonts w:ascii="仿宋_GB2312" w:eastAsia="仿宋_GB2312" w:hint="eastAsia"/>
      <w:color w:val="000000"/>
      <w:sz w:val="28"/>
      <w:szCs w:val="28"/>
    </w:rPr>
  </w:style>
  <w:style w:type="paragraph" w:styleId="ac">
    <w:name w:val="List Paragraph"/>
    <w:basedOn w:val="a"/>
    <w:uiPriority w:val="99"/>
    <w:unhideWhenUsed/>
    <w:rsid w:val="00F82A19"/>
    <w:pPr>
      <w:ind w:firstLineChars="200" w:firstLine="420"/>
    </w:pPr>
    <w:rPr>
      <w:rFonts w:ascii="Calibri" w:hAnsi="Calibri" w:cs="黑体"/>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647</Words>
  <Characters>3694</Characters>
  <Application>Microsoft Office Word</Application>
  <DocSecurity>0</DocSecurity>
  <PresentationFormat/>
  <Lines>30</Lines>
  <Paragraphs>8</Paragraphs>
  <Slides>0</Slides>
  <Notes>0</Notes>
  <HiddenSlides>0</HiddenSlides>
  <MMClips>0</MMClips>
  <ScaleCrop>false</ScaleCrop>
  <Company>china</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报告信息公开简报表</dc:title>
  <dc:creator>Administrator</dc:creator>
  <cp:lastModifiedBy>Administrator</cp:lastModifiedBy>
  <cp:revision>2</cp:revision>
  <cp:lastPrinted>2021-12-27T07:48:00Z</cp:lastPrinted>
  <dcterms:created xsi:type="dcterms:W3CDTF">2022-08-04T01:53:00Z</dcterms:created>
  <dcterms:modified xsi:type="dcterms:W3CDTF">2022-08-04T01:53:00Z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943A67D76A1C444DA1EBE4CDF1637165</vt:lpwstr>
  </property>
</Properties>
</file>